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8"/>
        <w:rPr>
          <w:rFonts w:ascii="Times New Roman"/>
          <w:sz w:val="16"/>
        </w:rPr>
      </w:pPr>
    </w:p>
    <w:p>
      <w:pPr>
        <w:pStyle w:val="Heading1"/>
        <w:spacing w:before="62"/>
        <w:ind w:left="244"/>
      </w:pPr>
      <w:r>
        <w:rPr/>
        <w:drawing>
          <wp:anchor distT="0" distB="0" distL="0" distR="0" allowOverlap="1" layoutInCell="1" locked="0" behindDoc="0" simplePos="0" relativeHeight="251658240">
            <wp:simplePos x="0" y="0"/>
            <wp:positionH relativeFrom="page">
              <wp:posOffset>5514342</wp:posOffset>
            </wp:positionH>
            <wp:positionV relativeFrom="paragraph">
              <wp:posOffset>-266485</wp:posOffset>
            </wp:positionV>
            <wp:extent cx="1009009" cy="80926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009009" cy="809269"/>
                    </a:xfrm>
                    <a:prstGeom prst="rect">
                      <a:avLst/>
                    </a:prstGeom>
                  </pic:spPr>
                </pic:pic>
              </a:graphicData>
            </a:graphic>
          </wp:anchor>
        </w:drawing>
      </w:r>
      <w:r>
        <w:rPr>
          <w:w w:val="95"/>
        </w:rPr>
        <w:t>Contact:</w:t>
      </w:r>
    </w:p>
    <w:p>
      <w:pPr>
        <w:pStyle w:val="BodyText"/>
        <w:spacing w:before="4"/>
        <w:rPr>
          <w:rFonts w:ascii="Arial"/>
          <w:b/>
          <w:sz w:val="22"/>
        </w:rPr>
      </w:pPr>
    </w:p>
    <w:p>
      <w:pPr>
        <w:pStyle w:val="BodyText"/>
        <w:spacing w:line="204" w:lineRule="auto"/>
        <w:ind w:left="244" w:right="7513"/>
      </w:pPr>
      <w:r>
        <w:rPr/>
        <w:t>Insignia Systems, Inc. Kristine Glancy, CEO (763) 392-6200</w:t>
      </w:r>
    </w:p>
    <w:p>
      <w:pPr>
        <w:pStyle w:val="Heading1"/>
        <w:spacing w:before="131"/>
        <w:ind w:left="3027" w:right="3220"/>
        <w:jc w:val="center"/>
      </w:pPr>
      <w:r>
        <w:rPr>
          <w:w w:val="90"/>
          <w:u w:val="single"/>
        </w:rPr>
        <w:t>FOR IMMEDIATE RELEASE</w:t>
      </w:r>
    </w:p>
    <w:p>
      <w:pPr>
        <w:pStyle w:val="BodyText"/>
        <w:spacing w:before="4"/>
        <w:rPr>
          <w:rFonts w:ascii="Arial"/>
          <w:b/>
          <w:sz w:val="18"/>
        </w:rPr>
      </w:pPr>
    </w:p>
    <w:p>
      <w:pPr>
        <w:spacing w:line="254" w:lineRule="auto" w:before="61"/>
        <w:ind w:left="2964" w:right="2630" w:firstLine="168"/>
        <w:jc w:val="left"/>
        <w:rPr>
          <w:rFonts w:ascii="Arial"/>
          <w:b/>
          <w:sz w:val="21"/>
        </w:rPr>
      </w:pPr>
      <w:r>
        <w:rPr>
          <w:rFonts w:ascii="Arial"/>
          <w:b/>
          <w:w w:val="85"/>
          <w:sz w:val="21"/>
        </w:rPr>
        <w:t>INSIGNIA SYSTEMS, INC. ANNOUNCES </w:t>
      </w:r>
      <w:r>
        <w:rPr>
          <w:rFonts w:ascii="Arial"/>
          <w:b/>
          <w:w w:val="80"/>
          <w:sz w:val="21"/>
        </w:rPr>
        <w:t>FIRST QUARTER 2020 FINANCIAL RESULTS</w:t>
      </w:r>
    </w:p>
    <w:p>
      <w:pPr>
        <w:pStyle w:val="BodyText"/>
        <w:rPr>
          <w:rFonts w:ascii="Arial"/>
          <w:b/>
          <w:sz w:val="20"/>
        </w:rPr>
      </w:pPr>
    </w:p>
    <w:p>
      <w:pPr>
        <w:pStyle w:val="BodyText"/>
        <w:spacing w:before="9"/>
        <w:rPr>
          <w:rFonts w:ascii="Arial"/>
          <w:b/>
          <w:sz w:val="20"/>
        </w:rPr>
      </w:pPr>
    </w:p>
    <w:p>
      <w:pPr>
        <w:spacing w:line="235" w:lineRule="auto" w:before="0"/>
        <w:ind w:left="100" w:right="0" w:firstLine="0"/>
        <w:jc w:val="left"/>
        <w:rPr>
          <w:sz w:val="21"/>
        </w:rPr>
      </w:pPr>
      <w:r>
        <w:rPr>
          <w:rFonts w:ascii="Arial" w:hAnsi="Arial"/>
          <w:b/>
          <w:w w:val="90"/>
          <w:sz w:val="21"/>
        </w:rPr>
        <w:t>MINNEAPOLIS,</w:t>
      </w:r>
      <w:r>
        <w:rPr>
          <w:rFonts w:ascii="Arial" w:hAnsi="Arial"/>
          <w:b/>
          <w:spacing w:val="-19"/>
          <w:w w:val="90"/>
          <w:sz w:val="21"/>
        </w:rPr>
        <w:t> </w:t>
      </w:r>
      <w:r>
        <w:rPr>
          <w:rFonts w:ascii="Arial" w:hAnsi="Arial"/>
          <w:b/>
          <w:w w:val="90"/>
          <w:sz w:val="21"/>
        </w:rPr>
        <w:t>MN</w:t>
      </w:r>
      <w:r>
        <w:rPr>
          <w:rFonts w:ascii="Arial" w:hAnsi="Arial"/>
          <w:b/>
          <w:spacing w:val="-18"/>
          <w:w w:val="90"/>
          <w:sz w:val="21"/>
        </w:rPr>
        <w:t> </w:t>
      </w:r>
      <w:r>
        <w:rPr>
          <w:w w:val="90"/>
          <w:sz w:val="21"/>
        </w:rPr>
        <w:t>–</w:t>
      </w:r>
      <w:r>
        <w:rPr>
          <w:spacing w:val="-9"/>
          <w:w w:val="90"/>
          <w:sz w:val="21"/>
        </w:rPr>
        <w:t> </w:t>
      </w:r>
      <w:r>
        <w:rPr>
          <w:rFonts w:ascii="Arial" w:hAnsi="Arial"/>
          <w:b/>
          <w:w w:val="90"/>
          <w:sz w:val="21"/>
        </w:rPr>
        <w:t>May</w:t>
      </w:r>
      <w:r>
        <w:rPr>
          <w:rFonts w:ascii="Arial" w:hAnsi="Arial"/>
          <w:b/>
          <w:spacing w:val="-18"/>
          <w:w w:val="90"/>
          <w:sz w:val="21"/>
        </w:rPr>
        <w:t> </w:t>
      </w:r>
      <w:r>
        <w:rPr>
          <w:rFonts w:ascii="Arial" w:hAnsi="Arial"/>
          <w:b/>
          <w:w w:val="90"/>
          <w:sz w:val="21"/>
        </w:rPr>
        <w:t>12,</w:t>
      </w:r>
      <w:r>
        <w:rPr>
          <w:rFonts w:ascii="Arial" w:hAnsi="Arial"/>
          <w:b/>
          <w:spacing w:val="-18"/>
          <w:w w:val="90"/>
          <w:sz w:val="21"/>
        </w:rPr>
        <w:t> </w:t>
      </w:r>
      <w:r>
        <w:rPr>
          <w:rFonts w:ascii="Arial" w:hAnsi="Arial"/>
          <w:b/>
          <w:w w:val="90"/>
          <w:sz w:val="21"/>
        </w:rPr>
        <w:t>2020</w:t>
      </w:r>
      <w:r>
        <w:rPr>
          <w:rFonts w:ascii="Arial" w:hAnsi="Arial"/>
          <w:b/>
          <w:spacing w:val="-18"/>
          <w:w w:val="90"/>
          <w:sz w:val="21"/>
        </w:rPr>
        <w:t> </w:t>
      </w:r>
      <w:r>
        <w:rPr>
          <w:w w:val="90"/>
          <w:sz w:val="21"/>
        </w:rPr>
        <w:t>–</w:t>
      </w:r>
      <w:r>
        <w:rPr>
          <w:spacing w:val="-9"/>
          <w:w w:val="90"/>
          <w:sz w:val="21"/>
        </w:rPr>
        <w:t> </w:t>
      </w:r>
      <w:r>
        <w:rPr>
          <w:rFonts w:ascii="Arial" w:hAnsi="Arial"/>
          <w:b/>
          <w:w w:val="90"/>
          <w:sz w:val="21"/>
        </w:rPr>
        <w:t>Insignia</w:t>
      </w:r>
      <w:r>
        <w:rPr>
          <w:rFonts w:ascii="Arial" w:hAnsi="Arial"/>
          <w:b/>
          <w:spacing w:val="-20"/>
          <w:w w:val="90"/>
          <w:sz w:val="21"/>
        </w:rPr>
        <w:t> </w:t>
      </w:r>
      <w:r>
        <w:rPr>
          <w:rFonts w:ascii="Arial" w:hAnsi="Arial"/>
          <w:b/>
          <w:w w:val="90"/>
          <w:sz w:val="21"/>
        </w:rPr>
        <w:t>Systems,</w:t>
      </w:r>
      <w:r>
        <w:rPr>
          <w:rFonts w:ascii="Arial" w:hAnsi="Arial"/>
          <w:b/>
          <w:spacing w:val="-18"/>
          <w:w w:val="90"/>
          <w:sz w:val="21"/>
        </w:rPr>
        <w:t> </w:t>
      </w:r>
      <w:r>
        <w:rPr>
          <w:rFonts w:ascii="Arial" w:hAnsi="Arial"/>
          <w:b/>
          <w:w w:val="90"/>
          <w:sz w:val="21"/>
        </w:rPr>
        <w:t>Inc.</w:t>
      </w:r>
      <w:r>
        <w:rPr>
          <w:rFonts w:ascii="Arial" w:hAnsi="Arial"/>
          <w:b/>
          <w:spacing w:val="-16"/>
          <w:w w:val="90"/>
          <w:sz w:val="21"/>
        </w:rPr>
        <w:t> </w:t>
      </w:r>
      <w:r>
        <w:rPr>
          <w:rFonts w:ascii="Arial" w:hAnsi="Arial"/>
          <w:b/>
          <w:w w:val="90"/>
          <w:sz w:val="21"/>
        </w:rPr>
        <w:t>(Nasdaq:</w:t>
      </w:r>
      <w:r>
        <w:rPr>
          <w:rFonts w:ascii="Arial" w:hAnsi="Arial"/>
          <w:b/>
          <w:spacing w:val="-18"/>
          <w:w w:val="90"/>
          <w:sz w:val="21"/>
        </w:rPr>
        <w:t> </w:t>
      </w:r>
      <w:r>
        <w:rPr>
          <w:rFonts w:ascii="Arial" w:hAnsi="Arial"/>
          <w:b/>
          <w:w w:val="90"/>
          <w:sz w:val="21"/>
        </w:rPr>
        <w:t>ISIG)</w:t>
      </w:r>
      <w:r>
        <w:rPr>
          <w:rFonts w:ascii="Arial" w:hAnsi="Arial"/>
          <w:b/>
          <w:spacing w:val="-18"/>
          <w:w w:val="90"/>
          <w:sz w:val="21"/>
        </w:rPr>
        <w:t> </w:t>
      </w:r>
      <w:r>
        <w:rPr>
          <w:rFonts w:ascii="Arial" w:hAnsi="Arial"/>
          <w:b/>
          <w:w w:val="90"/>
          <w:sz w:val="21"/>
        </w:rPr>
        <w:t>(“Insignia”)</w:t>
      </w:r>
      <w:r>
        <w:rPr>
          <w:rFonts w:ascii="Arial" w:hAnsi="Arial"/>
          <w:b/>
          <w:spacing w:val="-15"/>
          <w:w w:val="90"/>
          <w:sz w:val="21"/>
        </w:rPr>
        <w:t> </w:t>
      </w:r>
      <w:r>
        <w:rPr>
          <w:w w:val="90"/>
          <w:sz w:val="21"/>
        </w:rPr>
        <w:t>today</w:t>
      </w:r>
      <w:r>
        <w:rPr>
          <w:spacing w:val="-9"/>
          <w:w w:val="90"/>
          <w:sz w:val="21"/>
        </w:rPr>
        <w:t> </w:t>
      </w:r>
      <w:r>
        <w:rPr>
          <w:w w:val="90"/>
          <w:sz w:val="21"/>
        </w:rPr>
        <w:t>reported</w:t>
      </w:r>
      <w:r>
        <w:rPr>
          <w:spacing w:val="-9"/>
          <w:w w:val="90"/>
          <w:sz w:val="21"/>
        </w:rPr>
        <w:t> </w:t>
      </w:r>
      <w:r>
        <w:rPr>
          <w:w w:val="90"/>
          <w:sz w:val="21"/>
        </w:rPr>
        <w:t>financial </w:t>
      </w:r>
      <w:r>
        <w:rPr>
          <w:sz w:val="21"/>
        </w:rPr>
        <w:t>results for the first quarter ended March 31, 2020</w:t>
      </w:r>
      <w:r>
        <w:rPr>
          <w:spacing w:val="-12"/>
          <w:sz w:val="21"/>
        </w:rPr>
        <w:t> </w:t>
      </w:r>
      <w:r>
        <w:rPr>
          <w:sz w:val="21"/>
        </w:rPr>
        <w:t>(“Q1”).</w:t>
      </w:r>
    </w:p>
    <w:p>
      <w:pPr>
        <w:pStyle w:val="BodyText"/>
        <w:spacing w:before="5"/>
        <w:rPr>
          <w:sz w:val="23"/>
        </w:rPr>
      </w:pPr>
    </w:p>
    <w:p>
      <w:pPr>
        <w:pStyle w:val="Heading1"/>
        <w:spacing w:line="229" w:lineRule="exact" w:before="1"/>
      </w:pPr>
      <w:r>
        <w:rPr>
          <w:u w:val="single"/>
        </w:rPr>
        <w:t>Overview</w:t>
      </w:r>
    </w:p>
    <w:p>
      <w:pPr>
        <w:pStyle w:val="ListParagraph"/>
        <w:numPr>
          <w:ilvl w:val="0"/>
          <w:numId w:val="1"/>
        </w:numPr>
        <w:tabs>
          <w:tab w:pos="820" w:val="left" w:leader="none"/>
          <w:tab w:pos="821" w:val="left" w:leader="none"/>
        </w:tabs>
        <w:spacing w:line="204" w:lineRule="auto" w:before="24" w:after="0"/>
        <w:ind w:left="820" w:right="223" w:hanging="360"/>
        <w:jc w:val="left"/>
        <w:rPr>
          <w:sz w:val="21"/>
        </w:rPr>
      </w:pPr>
      <w:r>
        <w:rPr>
          <w:sz w:val="21"/>
        </w:rPr>
        <w:t>Q1 2020 net sales decreased 8.9% to $4.7 million from $5.1 million in Q1 2019, primarily driven by a decrease in POPS revenue partially offset by increased innovation</w:t>
      </w:r>
      <w:r>
        <w:rPr>
          <w:spacing w:val="-8"/>
          <w:sz w:val="21"/>
        </w:rPr>
        <w:t> </w:t>
      </w:r>
      <w:r>
        <w:rPr>
          <w:sz w:val="21"/>
        </w:rPr>
        <w:t>revenue.</w:t>
      </w:r>
    </w:p>
    <w:p>
      <w:pPr>
        <w:pStyle w:val="ListParagraph"/>
        <w:numPr>
          <w:ilvl w:val="0"/>
          <w:numId w:val="1"/>
        </w:numPr>
        <w:tabs>
          <w:tab w:pos="820" w:val="left" w:leader="none"/>
          <w:tab w:pos="821" w:val="left" w:leader="none"/>
        </w:tabs>
        <w:spacing w:line="256" w:lineRule="exact" w:before="0" w:after="0"/>
        <w:ind w:left="820" w:right="0" w:hanging="361"/>
        <w:jc w:val="left"/>
        <w:rPr>
          <w:sz w:val="21"/>
        </w:rPr>
      </w:pPr>
      <w:r>
        <w:rPr>
          <w:sz w:val="21"/>
        </w:rPr>
        <w:t>Q1 2020 operating loss was $1.1 million compared to an operating loss of $1.3 million in Q1</w:t>
      </w:r>
      <w:r>
        <w:rPr>
          <w:spacing w:val="-20"/>
          <w:sz w:val="21"/>
        </w:rPr>
        <w:t> </w:t>
      </w:r>
      <w:r>
        <w:rPr>
          <w:sz w:val="21"/>
        </w:rPr>
        <w:t>2019.</w:t>
      </w:r>
    </w:p>
    <w:p>
      <w:pPr>
        <w:pStyle w:val="ListParagraph"/>
        <w:numPr>
          <w:ilvl w:val="0"/>
          <w:numId w:val="1"/>
        </w:numPr>
        <w:tabs>
          <w:tab w:pos="820" w:val="left" w:leader="none"/>
          <w:tab w:pos="821" w:val="left" w:leader="none"/>
        </w:tabs>
        <w:spacing w:line="263" w:lineRule="exact" w:before="0" w:after="0"/>
        <w:ind w:left="820" w:right="0" w:hanging="361"/>
        <w:jc w:val="left"/>
        <w:rPr>
          <w:sz w:val="21"/>
        </w:rPr>
      </w:pPr>
      <w:r>
        <w:rPr>
          <w:sz w:val="21"/>
        </w:rPr>
        <w:t>Q1 2020 net loss was $0.9 million, or $0.07 per basic and diluted share, compared to a net loss</w:t>
      </w:r>
      <w:r>
        <w:rPr>
          <w:spacing w:val="-25"/>
          <w:sz w:val="21"/>
        </w:rPr>
        <w:t> </w:t>
      </w:r>
      <w:r>
        <w:rPr>
          <w:sz w:val="21"/>
        </w:rPr>
        <w:t>of</w:t>
      </w:r>
    </w:p>
    <w:p>
      <w:pPr>
        <w:pStyle w:val="BodyText"/>
        <w:spacing w:line="281" w:lineRule="exact"/>
        <w:ind w:left="820"/>
      </w:pPr>
      <w:r>
        <w:rPr/>
        <w:t>$1.1 million, or $0.09 per basic and diluted share in Q1 2019.</w:t>
      </w:r>
    </w:p>
    <w:p>
      <w:pPr>
        <w:pStyle w:val="BodyText"/>
        <w:rPr>
          <w:sz w:val="15"/>
        </w:rPr>
      </w:pPr>
    </w:p>
    <w:p>
      <w:pPr>
        <w:pStyle w:val="BodyText"/>
        <w:spacing w:line="232" w:lineRule="auto"/>
        <w:ind w:left="100" w:right="111" w:firstLine="719"/>
        <w:jc w:val="both"/>
      </w:pPr>
      <w:r>
        <w:rPr/>
        <w:t>Insignia’s President and CEO Kristine Glancy commented, “Our first quarter results reflect a revenue decline of 8.9%, which was primarily driven by our core signage solution due to the loss of a major retailer in 2019, which was in our network through a portion of the first half of 2019. While our core signage business decreased,</w:t>
      </w:r>
      <w:r>
        <w:rPr>
          <w:spacing w:val="-14"/>
        </w:rPr>
        <w:t> </w:t>
      </w:r>
      <w:r>
        <w:rPr/>
        <w:t>our</w:t>
      </w:r>
      <w:r>
        <w:rPr>
          <w:spacing w:val="-13"/>
        </w:rPr>
        <w:t> </w:t>
      </w:r>
      <w:r>
        <w:rPr/>
        <w:t>innovation</w:t>
      </w:r>
      <w:r>
        <w:rPr>
          <w:spacing w:val="-15"/>
        </w:rPr>
        <w:t> </w:t>
      </w:r>
      <w:r>
        <w:rPr/>
        <w:t>revenue</w:t>
      </w:r>
      <w:r>
        <w:rPr>
          <w:spacing w:val="-12"/>
        </w:rPr>
        <w:t> </w:t>
      </w:r>
      <w:r>
        <w:rPr/>
        <w:t>continued</w:t>
      </w:r>
      <w:r>
        <w:rPr>
          <w:spacing w:val="-15"/>
        </w:rPr>
        <w:t> </w:t>
      </w:r>
      <w:r>
        <w:rPr/>
        <w:t>to</w:t>
      </w:r>
      <w:r>
        <w:rPr>
          <w:spacing w:val="-14"/>
        </w:rPr>
        <w:t> </w:t>
      </w:r>
      <w:r>
        <w:rPr/>
        <w:t>increase,</w:t>
      </w:r>
      <w:r>
        <w:rPr>
          <w:spacing w:val="-13"/>
        </w:rPr>
        <w:t> </w:t>
      </w:r>
      <w:r>
        <w:rPr/>
        <w:t>up</w:t>
      </w:r>
      <w:r>
        <w:rPr>
          <w:spacing w:val="-14"/>
        </w:rPr>
        <w:t> </w:t>
      </w:r>
      <w:r>
        <w:rPr/>
        <w:t>29%</w:t>
      </w:r>
      <w:r>
        <w:rPr>
          <w:spacing w:val="-13"/>
        </w:rPr>
        <w:t> </w:t>
      </w:r>
      <w:r>
        <w:rPr/>
        <w:t>versus</w:t>
      </w:r>
      <w:r>
        <w:rPr>
          <w:spacing w:val="-15"/>
        </w:rPr>
        <w:t> </w:t>
      </w:r>
      <w:r>
        <w:rPr/>
        <w:t>the</w:t>
      </w:r>
      <w:r>
        <w:rPr>
          <w:spacing w:val="-12"/>
        </w:rPr>
        <w:t> </w:t>
      </w:r>
      <w:r>
        <w:rPr/>
        <w:t>first</w:t>
      </w:r>
      <w:r>
        <w:rPr>
          <w:spacing w:val="-12"/>
        </w:rPr>
        <w:t> </w:t>
      </w:r>
      <w:r>
        <w:rPr/>
        <w:t>quarter</w:t>
      </w:r>
      <w:r>
        <w:rPr>
          <w:spacing w:val="-13"/>
        </w:rPr>
        <w:t> </w:t>
      </w:r>
      <w:r>
        <w:rPr/>
        <w:t>of</w:t>
      </w:r>
      <w:r>
        <w:rPr>
          <w:spacing w:val="-12"/>
        </w:rPr>
        <w:t> </w:t>
      </w:r>
      <w:r>
        <w:rPr/>
        <w:t>2019.</w:t>
      </w:r>
      <w:r>
        <w:rPr>
          <w:spacing w:val="-14"/>
        </w:rPr>
        <w:t> </w:t>
      </w:r>
      <w:r>
        <w:rPr/>
        <w:t>Our</w:t>
      </w:r>
      <w:r>
        <w:rPr>
          <w:spacing w:val="-12"/>
        </w:rPr>
        <w:t> </w:t>
      </w:r>
      <w:r>
        <w:rPr/>
        <w:t>portfolio diversification is driven by client focused solutions which includes expanding our industry recognized display solutions and signage solutions for non-syndicated retailers along with launching our new mobile solution. Despite revenues declining in the quarter, our first quarter operating loss improved versus the first quarter of 2019 attributable to reduced fixed payment obligations to retailers, improved margins associated with our innovation revenue, reduced depreciation driven by the impairment taken at the end of 2019 and lower operating</w:t>
      </w:r>
      <w:r>
        <w:rPr>
          <w:spacing w:val="-10"/>
        </w:rPr>
        <w:t> </w:t>
      </w:r>
      <w:r>
        <w:rPr/>
        <w:t>expenses.</w:t>
      </w:r>
      <w:r>
        <w:rPr>
          <w:spacing w:val="31"/>
        </w:rPr>
        <w:t> </w:t>
      </w:r>
      <w:r>
        <w:rPr/>
        <w:t>In</w:t>
      </w:r>
      <w:r>
        <w:rPr>
          <w:spacing w:val="-9"/>
        </w:rPr>
        <w:t> </w:t>
      </w:r>
      <w:r>
        <w:rPr/>
        <w:t>late</w:t>
      </w:r>
      <w:r>
        <w:rPr>
          <w:spacing w:val="-10"/>
        </w:rPr>
        <w:t> </w:t>
      </w:r>
      <w:r>
        <w:rPr/>
        <w:t>2019,</w:t>
      </w:r>
      <w:r>
        <w:rPr>
          <w:spacing w:val="-8"/>
        </w:rPr>
        <w:t> </w:t>
      </w:r>
      <w:r>
        <w:rPr/>
        <w:t>we</w:t>
      </w:r>
      <w:r>
        <w:rPr>
          <w:spacing w:val="-8"/>
        </w:rPr>
        <w:t> </w:t>
      </w:r>
      <w:r>
        <w:rPr/>
        <w:t>consolidated</w:t>
      </w:r>
      <w:r>
        <w:rPr>
          <w:spacing w:val="-9"/>
        </w:rPr>
        <w:t> </w:t>
      </w:r>
      <w:r>
        <w:rPr/>
        <w:t>our</w:t>
      </w:r>
      <w:r>
        <w:rPr>
          <w:spacing w:val="-8"/>
        </w:rPr>
        <w:t> </w:t>
      </w:r>
      <w:r>
        <w:rPr/>
        <w:t>sales</w:t>
      </w:r>
      <w:r>
        <w:rPr>
          <w:spacing w:val="-8"/>
        </w:rPr>
        <w:t> </w:t>
      </w:r>
      <w:r>
        <w:rPr/>
        <w:t>and</w:t>
      </w:r>
      <w:r>
        <w:rPr>
          <w:spacing w:val="-9"/>
        </w:rPr>
        <w:t> </w:t>
      </w:r>
      <w:r>
        <w:rPr/>
        <w:t>marketing</w:t>
      </w:r>
      <w:r>
        <w:rPr>
          <w:spacing w:val="-9"/>
        </w:rPr>
        <w:t> </w:t>
      </w:r>
      <w:r>
        <w:rPr/>
        <w:t>functions</w:t>
      </w:r>
      <w:r>
        <w:rPr>
          <w:spacing w:val="-11"/>
        </w:rPr>
        <w:t> </w:t>
      </w:r>
      <w:r>
        <w:rPr/>
        <w:t>to</w:t>
      </w:r>
      <w:r>
        <w:rPr>
          <w:spacing w:val="-9"/>
        </w:rPr>
        <w:t> </w:t>
      </w:r>
      <w:r>
        <w:rPr/>
        <w:t>increase</w:t>
      </w:r>
      <w:r>
        <w:rPr>
          <w:spacing w:val="-10"/>
        </w:rPr>
        <w:t> </w:t>
      </w:r>
      <w:r>
        <w:rPr/>
        <w:t>efficiency</w:t>
      </w:r>
      <w:r>
        <w:rPr>
          <w:spacing w:val="-8"/>
        </w:rPr>
        <w:t> </w:t>
      </w:r>
      <w:r>
        <w:rPr/>
        <w:t>and reduce costs while expanding our client engagement and brand</w:t>
      </w:r>
      <w:r>
        <w:rPr>
          <w:spacing w:val="-7"/>
        </w:rPr>
        <w:t> </w:t>
      </w:r>
      <w:r>
        <w:rPr/>
        <w:t>awareness.”</w:t>
      </w:r>
    </w:p>
    <w:p>
      <w:pPr>
        <w:pStyle w:val="BodyText"/>
        <w:spacing w:before="10"/>
        <w:rPr>
          <w:sz w:val="17"/>
        </w:rPr>
      </w:pPr>
    </w:p>
    <w:p>
      <w:pPr>
        <w:pStyle w:val="BodyText"/>
        <w:spacing w:line="232" w:lineRule="auto"/>
        <w:ind w:left="100" w:right="112" w:firstLine="719"/>
        <w:jc w:val="both"/>
      </w:pPr>
      <w:r>
        <w:rPr/>
        <w:t>Ms. Glancy continued, “2020 will be a more challenging year than anticipated driven by the recent COVID-19 pandemic and the impact it is having on our industry. The amount of change our industry has experienced up until now was extreme, but COVID-19 will have a long-term impact on our industry that is causing</w:t>
      </w:r>
      <w:r>
        <w:rPr>
          <w:spacing w:val="-5"/>
        </w:rPr>
        <w:t> </w:t>
      </w:r>
      <w:r>
        <w:rPr/>
        <w:t>every</w:t>
      </w:r>
      <w:r>
        <w:rPr>
          <w:spacing w:val="-3"/>
        </w:rPr>
        <w:t> </w:t>
      </w:r>
      <w:r>
        <w:rPr/>
        <w:t>player</w:t>
      </w:r>
      <w:r>
        <w:rPr>
          <w:spacing w:val="-2"/>
        </w:rPr>
        <w:t> </w:t>
      </w:r>
      <w:r>
        <w:rPr/>
        <w:t>involved</w:t>
      </w:r>
      <w:r>
        <w:rPr>
          <w:spacing w:val="-4"/>
        </w:rPr>
        <w:t> </w:t>
      </w:r>
      <w:r>
        <w:rPr/>
        <w:t>to</w:t>
      </w:r>
      <w:r>
        <w:rPr>
          <w:spacing w:val="-4"/>
        </w:rPr>
        <w:t> </w:t>
      </w:r>
      <w:r>
        <w:rPr/>
        <w:t>re-think</w:t>
      </w:r>
      <w:r>
        <w:rPr>
          <w:spacing w:val="-3"/>
        </w:rPr>
        <w:t> </w:t>
      </w:r>
      <w:r>
        <w:rPr/>
        <w:t>their</w:t>
      </w:r>
      <w:r>
        <w:rPr>
          <w:spacing w:val="-3"/>
        </w:rPr>
        <w:t> </w:t>
      </w:r>
      <w:r>
        <w:rPr/>
        <w:t>business</w:t>
      </w:r>
      <w:r>
        <w:rPr>
          <w:spacing w:val="-7"/>
        </w:rPr>
        <w:t> </w:t>
      </w:r>
      <w:r>
        <w:rPr/>
        <w:t>models.</w:t>
      </w:r>
      <w:r>
        <w:rPr>
          <w:spacing w:val="-4"/>
        </w:rPr>
        <w:t> </w:t>
      </w:r>
      <w:r>
        <w:rPr/>
        <w:t>While</w:t>
      </w:r>
      <w:r>
        <w:rPr>
          <w:spacing w:val="-4"/>
        </w:rPr>
        <w:t> </w:t>
      </w:r>
      <w:r>
        <w:rPr/>
        <w:t>the</w:t>
      </w:r>
      <w:r>
        <w:rPr>
          <w:spacing w:val="-3"/>
        </w:rPr>
        <w:t> </w:t>
      </w:r>
      <w:r>
        <w:rPr/>
        <w:t>long-term</w:t>
      </w:r>
      <w:r>
        <w:rPr>
          <w:spacing w:val="-6"/>
        </w:rPr>
        <w:t> </w:t>
      </w:r>
      <w:r>
        <w:rPr/>
        <w:t>impact</w:t>
      </w:r>
      <w:r>
        <w:rPr>
          <w:spacing w:val="-3"/>
        </w:rPr>
        <w:t> </w:t>
      </w:r>
      <w:r>
        <w:rPr/>
        <w:t>on</w:t>
      </w:r>
      <w:r>
        <w:rPr>
          <w:spacing w:val="-4"/>
        </w:rPr>
        <w:t> </w:t>
      </w:r>
      <w:r>
        <w:rPr/>
        <w:t>our</w:t>
      </w:r>
      <w:r>
        <w:rPr>
          <w:spacing w:val="-3"/>
        </w:rPr>
        <w:t> </w:t>
      </w:r>
      <w:r>
        <w:rPr/>
        <w:t>business</w:t>
      </w:r>
      <w:r>
        <w:rPr>
          <w:spacing w:val="-5"/>
        </w:rPr>
        <w:t> </w:t>
      </w:r>
      <w:r>
        <w:rPr/>
        <w:t>is yet unknown, we are working with clients to deliver against their objectives, leveraging our full product portfolio. We have several examples of how we have adapted to the continued change and pressure in our industry. For example, we successfully completed a virtual digital pitch slam, which was originally planned to be</w:t>
      </w:r>
      <w:r>
        <w:rPr>
          <w:spacing w:val="-11"/>
        </w:rPr>
        <w:t> </w:t>
      </w:r>
      <w:r>
        <w:rPr/>
        <w:t>in-person</w:t>
      </w:r>
      <w:r>
        <w:rPr>
          <w:spacing w:val="-11"/>
        </w:rPr>
        <w:t> </w:t>
      </w:r>
      <w:r>
        <w:rPr/>
        <w:t>at</w:t>
      </w:r>
      <w:r>
        <w:rPr>
          <w:spacing w:val="-10"/>
        </w:rPr>
        <w:t> </w:t>
      </w:r>
      <w:r>
        <w:rPr/>
        <w:t>a</w:t>
      </w:r>
      <w:r>
        <w:rPr>
          <w:spacing w:val="-11"/>
        </w:rPr>
        <w:t> </w:t>
      </w:r>
      <w:r>
        <w:rPr/>
        <w:t>tradeshow</w:t>
      </w:r>
      <w:r>
        <w:rPr>
          <w:spacing w:val="-10"/>
        </w:rPr>
        <w:t> </w:t>
      </w:r>
      <w:r>
        <w:rPr/>
        <w:t>that</w:t>
      </w:r>
      <w:r>
        <w:rPr>
          <w:spacing w:val="-12"/>
        </w:rPr>
        <w:t> </w:t>
      </w:r>
      <w:r>
        <w:rPr/>
        <w:t>was</w:t>
      </w:r>
      <w:r>
        <w:rPr>
          <w:spacing w:val="-12"/>
        </w:rPr>
        <w:t> </w:t>
      </w:r>
      <w:r>
        <w:rPr/>
        <w:t>cancelled</w:t>
      </w:r>
      <w:r>
        <w:rPr>
          <w:spacing w:val="-9"/>
        </w:rPr>
        <w:t> </w:t>
      </w:r>
      <w:r>
        <w:rPr/>
        <w:t>due</w:t>
      </w:r>
      <w:r>
        <w:rPr>
          <w:spacing w:val="-10"/>
        </w:rPr>
        <w:t> </w:t>
      </w:r>
      <w:r>
        <w:rPr/>
        <w:t>to</w:t>
      </w:r>
      <w:r>
        <w:rPr>
          <w:spacing w:val="-14"/>
        </w:rPr>
        <w:t> </w:t>
      </w:r>
      <w:r>
        <w:rPr/>
        <w:t>COVID-19.</w:t>
      </w:r>
      <w:r>
        <w:rPr>
          <w:spacing w:val="-11"/>
        </w:rPr>
        <w:t> </w:t>
      </w:r>
      <w:r>
        <w:rPr/>
        <w:t>The</w:t>
      </w:r>
      <w:r>
        <w:rPr>
          <w:spacing w:val="-10"/>
        </w:rPr>
        <w:t> </w:t>
      </w:r>
      <w:r>
        <w:rPr/>
        <w:t>virtual</w:t>
      </w:r>
      <w:r>
        <w:rPr>
          <w:spacing w:val="-11"/>
        </w:rPr>
        <w:t> </w:t>
      </w:r>
      <w:r>
        <w:rPr/>
        <w:t>digital</w:t>
      </w:r>
      <w:r>
        <w:rPr>
          <w:spacing w:val="-11"/>
        </w:rPr>
        <w:t> </w:t>
      </w:r>
      <w:r>
        <w:rPr/>
        <w:t>pitch</w:t>
      </w:r>
      <w:r>
        <w:rPr>
          <w:spacing w:val="-11"/>
        </w:rPr>
        <w:t> </w:t>
      </w:r>
      <w:r>
        <w:rPr/>
        <w:t>slam</w:t>
      </w:r>
      <w:r>
        <w:rPr>
          <w:spacing w:val="-11"/>
        </w:rPr>
        <w:t> </w:t>
      </w:r>
      <w:r>
        <w:rPr/>
        <w:t>gave</w:t>
      </w:r>
      <w:r>
        <w:rPr>
          <w:spacing w:val="-10"/>
        </w:rPr>
        <w:t> </w:t>
      </w:r>
      <w:r>
        <w:rPr/>
        <w:t>the</w:t>
      </w:r>
      <w:r>
        <w:rPr>
          <w:spacing w:val="-10"/>
        </w:rPr>
        <w:t> </w:t>
      </w:r>
      <w:r>
        <w:rPr/>
        <w:t>winning brand a free $100,000 mobile campaign. Secondly, we recently announced our “Insignia Cares” platform, where our first program will partner with Feeding America to give meals to those in need. For every contract signed</w:t>
      </w:r>
      <w:r>
        <w:rPr>
          <w:spacing w:val="-6"/>
        </w:rPr>
        <w:t> </w:t>
      </w:r>
      <w:r>
        <w:rPr/>
        <w:t>through</w:t>
      </w:r>
      <w:r>
        <w:rPr>
          <w:spacing w:val="-6"/>
        </w:rPr>
        <w:t> </w:t>
      </w:r>
      <w:r>
        <w:rPr/>
        <w:t>September</w:t>
      </w:r>
      <w:r>
        <w:rPr>
          <w:spacing w:val="-7"/>
        </w:rPr>
        <w:t> </w:t>
      </w:r>
      <w:r>
        <w:rPr/>
        <w:t>1</w:t>
      </w:r>
      <w:r>
        <w:rPr>
          <w:position w:val="7"/>
          <w:sz w:val="14"/>
        </w:rPr>
        <w:t>st</w:t>
      </w:r>
      <w:r>
        <w:rPr/>
        <w:t>,</w:t>
      </w:r>
      <w:r>
        <w:rPr>
          <w:spacing w:val="-5"/>
        </w:rPr>
        <w:t> </w:t>
      </w:r>
      <w:r>
        <w:rPr/>
        <w:t>2020,</w:t>
      </w:r>
      <w:r>
        <w:rPr>
          <w:spacing w:val="-4"/>
        </w:rPr>
        <w:t> </w:t>
      </w:r>
      <w:r>
        <w:rPr/>
        <w:t>we</w:t>
      </w:r>
      <w:r>
        <w:rPr>
          <w:spacing w:val="-8"/>
        </w:rPr>
        <w:t> </w:t>
      </w:r>
      <w:r>
        <w:rPr/>
        <w:t>will</w:t>
      </w:r>
      <w:r>
        <w:rPr>
          <w:spacing w:val="-6"/>
        </w:rPr>
        <w:t> </w:t>
      </w:r>
      <w:r>
        <w:rPr/>
        <w:t>donate</w:t>
      </w:r>
      <w:r>
        <w:rPr>
          <w:spacing w:val="-5"/>
        </w:rPr>
        <w:t> </w:t>
      </w:r>
      <w:r>
        <w:rPr/>
        <w:t>meals</w:t>
      </w:r>
      <w:r>
        <w:rPr>
          <w:spacing w:val="-7"/>
        </w:rPr>
        <w:t> </w:t>
      </w:r>
      <w:r>
        <w:rPr/>
        <w:t>on</w:t>
      </w:r>
      <w:r>
        <w:rPr>
          <w:spacing w:val="-5"/>
        </w:rPr>
        <w:t> </w:t>
      </w:r>
      <w:r>
        <w:rPr/>
        <w:t>behalf</w:t>
      </w:r>
      <w:r>
        <w:rPr>
          <w:spacing w:val="-6"/>
        </w:rPr>
        <w:t> </w:t>
      </w:r>
      <w:r>
        <w:rPr/>
        <w:t>of</w:t>
      </w:r>
      <w:r>
        <w:rPr>
          <w:spacing w:val="-6"/>
        </w:rPr>
        <w:t> </w:t>
      </w:r>
      <w:r>
        <w:rPr/>
        <w:t>the</w:t>
      </w:r>
      <w:r>
        <w:rPr>
          <w:spacing w:val="-5"/>
        </w:rPr>
        <w:t> </w:t>
      </w:r>
      <w:r>
        <w:rPr/>
        <w:t>brand.</w:t>
      </w:r>
      <w:r>
        <w:rPr>
          <w:spacing w:val="-6"/>
        </w:rPr>
        <w:t> </w:t>
      </w:r>
      <w:r>
        <w:rPr/>
        <w:t>We</w:t>
      </w:r>
      <w:r>
        <w:rPr>
          <w:spacing w:val="-7"/>
        </w:rPr>
        <w:t> </w:t>
      </w:r>
      <w:r>
        <w:rPr/>
        <w:t>know</w:t>
      </w:r>
      <w:r>
        <w:rPr>
          <w:spacing w:val="-6"/>
        </w:rPr>
        <w:t> </w:t>
      </w:r>
      <w:r>
        <w:rPr/>
        <w:t>this</w:t>
      </w:r>
      <w:r>
        <w:rPr>
          <w:spacing w:val="-7"/>
        </w:rPr>
        <w:t> </w:t>
      </w:r>
      <w:r>
        <w:rPr/>
        <w:t>is</w:t>
      </w:r>
      <w:r>
        <w:rPr>
          <w:spacing w:val="-7"/>
        </w:rPr>
        <w:t> </w:t>
      </w:r>
      <w:r>
        <w:rPr/>
        <w:t>an</w:t>
      </w:r>
      <w:r>
        <w:rPr>
          <w:spacing w:val="-7"/>
        </w:rPr>
        <w:t> </w:t>
      </w:r>
      <w:r>
        <w:rPr/>
        <w:t>area</w:t>
      </w:r>
      <w:r>
        <w:rPr>
          <w:spacing w:val="-7"/>
        </w:rPr>
        <w:t> </w:t>
      </w:r>
      <w:r>
        <w:rPr/>
        <w:t>that many</w:t>
      </w:r>
      <w:r>
        <w:rPr>
          <w:spacing w:val="-5"/>
        </w:rPr>
        <w:t> </w:t>
      </w:r>
      <w:r>
        <w:rPr/>
        <w:t>of</w:t>
      </w:r>
      <w:r>
        <w:rPr>
          <w:spacing w:val="-5"/>
        </w:rPr>
        <w:t> </w:t>
      </w:r>
      <w:r>
        <w:rPr/>
        <w:t>our</w:t>
      </w:r>
      <w:r>
        <w:rPr>
          <w:spacing w:val="-6"/>
        </w:rPr>
        <w:t> </w:t>
      </w:r>
      <w:r>
        <w:rPr/>
        <w:t>CPG</w:t>
      </w:r>
      <w:r>
        <w:rPr>
          <w:spacing w:val="-4"/>
        </w:rPr>
        <w:t> </w:t>
      </w:r>
      <w:r>
        <w:rPr/>
        <w:t>partners</w:t>
      </w:r>
      <w:r>
        <w:rPr>
          <w:spacing w:val="-7"/>
        </w:rPr>
        <w:t> </w:t>
      </w:r>
      <w:r>
        <w:rPr/>
        <w:t>are</w:t>
      </w:r>
      <w:r>
        <w:rPr>
          <w:spacing w:val="-4"/>
        </w:rPr>
        <w:t> </w:t>
      </w:r>
      <w:r>
        <w:rPr/>
        <w:t>focused</w:t>
      </w:r>
      <w:r>
        <w:rPr>
          <w:spacing w:val="-5"/>
        </w:rPr>
        <w:t> </w:t>
      </w:r>
      <w:r>
        <w:rPr/>
        <w:t>on</w:t>
      </w:r>
      <w:r>
        <w:rPr>
          <w:spacing w:val="-6"/>
        </w:rPr>
        <w:t> </w:t>
      </w:r>
      <w:r>
        <w:rPr/>
        <w:t>as</w:t>
      </w:r>
      <w:r>
        <w:rPr>
          <w:spacing w:val="-5"/>
        </w:rPr>
        <w:t> </w:t>
      </w:r>
      <w:r>
        <w:rPr/>
        <w:t>well</w:t>
      </w:r>
      <w:r>
        <w:rPr>
          <w:spacing w:val="-6"/>
        </w:rPr>
        <w:t> </w:t>
      </w:r>
      <w:r>
        <w:rPr/>
        <w:t>and</w:t>
      </w:r>
      <w:r>
        <w:rPr>
          <w:spacing w:val="-5"/>
        </w:rPr>
        <w:t> </w:t>
      </w:r>
      <w:r>
        <w:rPr/>
        <w:t>believe</w:t>
      </w:r>
      <w:r>
        <w:rPr>
          <w:spacing w:val="-6"/>
        </w:rPr>
        <w:t> </w:t>
      </w:r>
      <w:r>
        <w:rPr/>
        <w:t>together</w:t>
      </w:r>
      <w:r>
        <w:rPr>
          <w:spacing w:val="-5"/>
        </w:rPr>
        <w:t> </w:t>
      </w:r>
      <w:r>
        <w:rPr/>
        <w:t>we</w:t>
      </w:r>
      <w:r>
        <w:rPr>
          <w:spacing w:val="-4"/>
        </w:rPr>
        <w:t> </w:t>
      </w:r>
      <w:r>
        <w:rPr/>
        <w:t>can</w:t>
      </w:r>
      <w:r>
        <w:rPr>
          <w:spacing w:val="-6"/>
        </w:rPr>
        <w:t> </w:t>
      </w:r>
      <w:r>
        <w:rPr/>
        <w:t>have</w:t>
      </w:r>
      <w:r>
        <w:rPr>
          <w:spacing w:val="-4"/>
        </w:rPr>
        <w:t> </w:t>
      </w:r>
      <w:r>
        <w:rPr/>
        <w:t>a</w:t>
      </w:r>
      <w:r>
        <w:rPr>
          <w:spacing w:val="-8"/>
        </w:rPr>
        <w:t> </w:t>
      </w:r>
      <w:r>
        <w:rPr/>
        <w:t>greater</w:t>
      </w:r>
      <w:r>
        <w:rPr>
          <w:spacing w:val="-5"/>
        </w:rPr>
        <w:t> </w:t>
      </w:r>
      <w:r>
        <w:rPr/>
        <w:t>impact.</w:t>
      </w:r>
      <w:r>
        <w:rPr>
          <w:spacing w:val="-5"/>
        </w:rPr>
        <w:t> </w:t>
      </w:r>
      <w:r>
        <w:rPr/>
        <w:t>Third,</w:t>
      </w:r>
      <w:r>
        <w:rPr>
          <w:spacing w:val="-6"/>
        </w:rPr>
        <w:t> </w:t>
      </w:r>
      <w:r>
        <w:rPr/>
        <w:t>we recently announced a further expansion of our portfolio with the addition of Catalina’s In-Store</w:t>
      </w:r>
      <w:r>
        <w:rPr>
          <w:spacing w:val="10"/>
        </w:rPr>
        <w:t> </w:t>
      </w:r>
      <w:r>
        <w:rPr/>
        <w:t>Media</w:t>
      </w:r>
    </w:p>
    <w:p>
      <w:pPr>
        <w:spacing w:after="0" w:line="232" w:lineRule="auto"/>
        <w:jc w:val="both"/>
        <w:sectPr>
          <w:type w:val="continuous"/>
          <w:pgSz w:w="12240" w:h="15840"/>
          <w:pgMar w:top="800" w:bottom="280" w:left="1340" w:right="1320"/>
        </w:sectPr>
      </w:pPr>
    </w:p>
    <w:p>
      <w:pPr>
        <w:pStyle w:val="BodyText"/>
        <w:spacing w:line="232" w:lineRule="auto"/>
        <w:ind w:left="100" w:right="112"/>
        <w:jc w:val="both"/>
      </w:pPr>
      <w:r>
        <w:rPr/>
        <w:t>Network. This partnership represents additional opportunities for shoppers to save while also positioning us to help brands drive incremental revenue in-store. I believe these initiatives will continue to build momentum for the organization while we navigate this interesting time in our industry. I am proud of our team as they have responded to these challenges on a personal and professional level.”</w:t>
      </w:r>
    </w:p>
    <w:p>
      <w:pPr>
        <w:pStyle w:val="BodyText"/>
        <w:spacing w:before="13"/>
        <w:rPr>
          <w:sz w:val="16"/>
        </w:rPr>
      </w:pPr>
    </w:p>
    <w:p>
      <w:pPr>
        <w:pStyle w:val="BodyText"/>
        <w:spacing w:line="232" w:lineRule="auto"/>
        <w:ind w:left="100" w:right="113" w:firstLine="719"/>
        <w:jc w:val="both"/>
      </w:pPr>
      <w:r>
        <w:rPr/>
        <w:t>The challenges of COVID-19 are unprecedented and our business is not immune to its economic impact. We expect it to have an adverse effect on our financial results in our upcoming reporting periods, including but not limited to: further reduced or delayed levels of CPG spending; reduced levels of staffing by our execution partners; limitations on the ability of our employees to perform their work due to illness or governmental</w:t>
      </w:r>
      <w:r>
        <w:rPr>
          <w:spacing w:val="-4"/>
        </w:rPr>
        <w:t> </w:t>
      </w:r>
      <w:r>
        <w:rPr/>
        <w:t>orders</w:t>
      </w:r>
      <w:r>
        <w:rPr>
          <w:spacing w:val="-3"/>
        </w:rPr>
        <w:t> </w:t>
      </w:r>
      <w:r>
        <w:rPr/>
        <w:t>requiring</w:t>
      </w:r>
      <w:r>
        <w:rPr>
          <w:spacing w:val="-3"/>
        </w:rPr>
        <w:t> </w:t>
      </w:r>
      <w:r>
        <w:rPr/>
        <w:t>them</w:t>
      </w:r>
      <w:r>
        <w:rPr>
          <w:spacing w:val="-5"/>
        </w:rPr>
        <w:t> </w:t>
      </w:r>
      <w:r>
        <w:rPr/>
        <w:t>to</w:t>
      </w:r>
      <w:r>
        <w:rPr>
          <w:spacing w:val="-4"/>
        </w:rPr>
        <w:t> </w:t>
      </w:r>
      <w:r>
        <w:rPr/>
        <w:t>remain</w:t>
      </w:r>
      <w:r>
        <w:rPr>
          <w:spacing w:val="-3"/>
        </w:rPr>
        <w:t> </w:t>
      </w:r>
      <w:r>
        <w:rPr/>
        <w:t>at</w:t>
      </w:r>
      <w:r>
        <w:rPr>
          <w:spacing w:val="-3"/>
        </w:rPr>
        <w:t> </w:t>
      </w:r>
      <w:r>
        <w:rPr/>
        <w:t>home;</w:t>
      </w:r>
      <w:r>
        <w:rPr>
          <w:spacing w:val="-3"/>
        </w:rPr>
        <w:t> </w:t>
      </w:r>
      <w:r>
        <w:rPr/>
        <w:t>and</w:t>
      </w:r>
      <w:r>
        <w:rPr>
          <w:spacing w:val="-4"/>
        </w:rPr>
        <w:t> </w:t>
      </w:r>
      <w:r>
        <w:rPr/>
        <w:t>limitations</w:t>
      </w:r>
      <w:r>
        <w:rPr>
          <w:spacing w:val="-4"/>
        </w:rPr>
        <w:t> </w:t>
      </w:r>
      <w:r>
        <w:rPr/>
        <w:t>on</w:t>
      </w:r>
      <w:r>
        <w:rPr>
          <w:spacing w:val="-5"/>
        </w:rPr>
        <w:t> </w:t>
      </w:r>
      <w:r>
        <w:rPr/>
        <w:t>the</w:t>
      </w:r>
      <w:r>
        <w:rPr>
          <w:spacing w:val="-4"/>
        </w:rPr>
        <w:t> </w:t>
      </w:r>
      <w:r>
        <w:rPr/>
        <w:t>ability</w:t>
      </w:r>
      <w:r>
        <w:rPr>
          <w:spacing w:val="-4"/>
        </w:rPr>
        <w:t> </w:t>
      </w:r>
      <w:r>
        <w:rPr/>
        <w:t>of</w:t>
      </w:r>
      <w:r>
        <w:rPr>
          <w:spacing w:val="-3"/>
        </w:rPr>
        <w:t> </w:t>
      </w:r>
      <w:r>
        <w:rPr/>
        <w:t>our</w:t>
      </w:r>
      <w:r>
        <w:rPr>
          <w:spacing w:val="-2"/>
        </w:rPr>
        <w:t> </w:t>
      </w:r>
      <w:r>
        <w:rPr/>
        <w:t>customers</w:t>
      </w:r>
      <w:r>
        <w:rPr>
          <w:spacing w:val="-4"/>
        </w:rPr>
        <w:t> </w:t>
      </w:r>
      <w:r>
        <w:rPr/>
        <w:t>to</w:t>
      </w:r>
      <w:r>
        <w:rPr>
          <w:spacing w:val="-3"/>
        </w:rPr>
        <w:t> </w:t>
      </w:r>
      <w:r>
        <w:rPr/>
        <w:t>pay us on a timely basis or at all. Our focus will be to continue to provide superior client support while optimizing our cost structure. Insignia received a loan in the amount of $1,054,000 pursuant to the Paycheck Protection Program of the Coronavirus Aid, Relief, and Economic Security Act administered by the U.S. Small Business Administration (“SBA”). In accordance with the requirements of the CARES Act, Insignia expects to use the proceeds</w:t>
      </w:r>
      <w:r>
        <w:rPr>
          <w:spacing w:val="-12"/>
        </w:rPr>
        <w:t> </w:t>
      </w:r>
      <w:r>
        <w:rPr/>
        <w:t>from</w:t>
      </w:r>
      <w:r>
        <w:rPr>
          <w:spacing w:val="-11"/>
        </w:rPr>
        <w:t> </w:t>
      </w:r>
      <w:r>
        <w:rPr/>
        <w:t>the</w:t>
      </w:r>
      <w:r>
        <w:rPr>
          <w:spacing w:val="-10"/>
        </w:rPr>
        <w:t> </w:t>
      </w:r>
      <w:r>
        <w:rPr/>
        <w:t>loan</w:t>
      </w:r>
      <w:r>
        <w:rPr>
          <w:spacing w:val="-11"/>
        </w:rPr>
        <w:t> </w:t>
      </w:r>
      <w:r>
        <w:rPr/>
        <w:t>exclusively</w:t>
      </w:r>
      <w:r>
        <w:rPr>
          <w:spacing w:val="-10"/>
        </w:rPr>
        <w:t> </w:t>
      </w:r>
      <w:r>
        <w:rPr/>
        <w:t>for</w:t>
      </w:r>
      <w:r>
        <w:rPr>
          <w:spacing w:val="-11"/>
        </w:rPr>
        <w:t> </w:t>
      </w:r>
      <w:r>
        <w:rPr/>
        <w:t>qualified</w:t>
      </w:r>
      <w:r>
        <w:rPr>
          <w:spacing w:val="-10"/>
        </w:rPr>
        <w:t> </w:t>
      </w:r>
      <w:r>
        <w:rPr/>
        <w:t>expenses</w:t>
      </w:r>
      <w:r>
        <w:rPr>
          <w:spacing w:val="-12"/>
        </w:rPr>
        <w:t> </w:t>
      </w:r>
      <w:r>
        <w:rPr/>
        <w:t>under</w:t>
      </w:r>
      <w:r>
        <w:rPr>
          <w:spacing w:val="-13"/>
        </w:rPr>
        <w:t> </w:t>
      </w:r>
      <w:r>
        <w:rPr/>
        <w:t>the</w:t>
      </w:r>
      <w:r>
        <w:rPr>
          <w:spacing w:val="-13"/>
        </w:rPr>
        <w:t> </w:t>
      </w:r>
      <w:r>
        <w:rPr/>
        <w:t>PPP,</w:t>
      </w:r>
      <w:r>
        <w:rPr>
          <w:spacing w:val="-10"/>
        </w:rPr>
        <w:t> </w:t>
      </w:r>
      <w:r>
        <w:rPr/>
        <w:t>including</w:t>
      </w:r>
      <w:r>
        <w:rPr>
          <w:spacing w:val="-12"/>
        </w:rPr>
        <w:t> </w:t>
      </w:r>
      <w:r>
        <w:rPr/>
        <w:t>payroll</w:t>
      </w:r>
      <w:r>
        <w:rPr>
          <w:spacing w:val="-11"/>
        </w:rPr>
        <w:t> </w:t>
      </w:r>
      <w:r>
        <w:rPr/>
        <w:t>costs,</w:t>
      </w:r>
      <w:r>
        <w:rPr>
          <w:spacing w:val="-10"/>
        </w:rPr>
        <w:t> </w:t>
      </w:r>
      <w:r>
        <w:rPr/>
        <w:t>rent</w:t>
      </w:r>
      <w:r>
        <w:rPr>
          <w:spacing w:val="-9"/>
        </w:rPr>
        <w:t> </w:t>
      </w:r>
      <w:r>
        <w:rPr/>
        <w:t>and</w:t>
      </w:r>
      <w:r>
        <w:rPr>
          <w:spacing w:val="-11"/>
        </w:rPr>
        <w:t> </w:t>
      </w:r>
      <w:r>
        <w:rPr/>
        <w:t>utility costs, as further detailed in the CARES Act and applicable guidance issued by the</w:t>
      </w:r>
      <w:r>
        <w:rPr>
          <w:spacing w:val="-14"/>
        </w:rPr>
        <w:t> </w:t>
      </w:r>
      <w:r>
        <w:rPr/>
        <w:t>SBA.</w:t>
      </w:r>
    </w:p>
    <w:p>
      <w:pPr>
        <w:pStyle w:val="BodyText"/>
        <w:spacing w:before="7"/>
        <w:rPr>
          <w:sz w:val="20"/>
        </w:rPr>
      </w:pPr>
    </w:p>
    <w:p>
      <w:pPr>
        <w:pStyle w:val="Heading1"/>
        <w:spacing w:line="224" w:lineRule="exact"/>
        <w:jc w:val="both"/>
      </w:pPr>
      <w:r>
        <w:rPr>
          <w:u w:val="single"/>
        </w:rPr>
        <w:t>Q1 2020 Results</w:t>
      </w:r>
    </w:p>
    <w:p>
      <w:pPr>
        <w:pStyle w:val="BodyText"/>
        <w:spacing w:line="232" w:lineRule="auto"/>
        <w:ind w:left="100" w:right="164"/>
      </w:pPr>
      <w:r>
        <w:rPr/>
        <w:t>Net sales decreased 8.9% to $4,682,000 in Q1 2020, from $5,140,000 in Q1 2019, primarily due to a decrease in POPS solutions revenue, partially offset by an increase in innovation initiatives revenue. The financial impact from COVID-19 through the end of the first quarter was minimal and we have been able to successfully defer programs versus outright canceling; however future bookings for 2020 have been negatively impacted and may negatively impact sales until the COVID-19 pandemic moderates.</w:t>
      </w:r>
    </w:p>
    <w:p>
      <w:pPr>
        <w:pStyle w:val="BodyText"/>
        <w:spacing w:before="2"/>
        <w:rPr>
          <w:sz w:val="20"/>
        </w:rPr>
      </w:pPr>
    </w:p>
    <w:p>
      <w:pPr>
        <w:pStyle w:val="BodyText"/>
        <w:spacing w:line="232" w:lineRule="auto" w:before="1"/>
        <w:ind w:left="100" w:right="170"/>
      </w:pPr>
      <w:r>
        <w:rPr/>
        <w:t>Gross profit in Q1 2020 increased to $969,000, or 20.7% of net sales, from $774,000, or 15.1% of net sales, in Q1 2019. The increase in gross profit was primarily due to less fixed payment obligations to our retailers, improved margin rates from innovation revenues and less depreciation due to an impairment taken on December 31, 2019. We anticipate that gross profits, in the near term, will be correlated with negative sales trends due to the economics of the COVID-19 pandemic.</w:t>
      </w:r>
    </w:p>
    <w:p>
      <w:pPr>
        <w:pStyle w:val="BodyText"/>
        <w:spacing w:before="12"/>
        <w:rPr>
          <w:sz w:val="16"/>
        </w:rPr>
      </w:pPr>
    </w:p>
    <w:p>
      <w:pPr>
        <w:pStyle w:val="BodyText"/>
        <w:spacing w:line="235" w:lineRule="auto"/>
        <w:ind w:left="100" w:right="447"/>
      </w:pPr>
      <w:r>
        <w:rPr/>
        <w:t>Selling expenses in Q1 2020 were $720,000, or 15.4% of net sales, compared to $738,000, or 14.4% of net sales, in Q1 2019 due to lower variable staff expenses.</w:t>
      </w:r>
    </w:p>
    <w:p>
      <w:pPr>
        <w:pStyle w:val="BodyText"/>
        <w:spacing w:before="9"/>
        <w:rPr>
          <w:sz w:val="16"/>
        </w:rPr>
      </w:pPr>
    </w:p>
    <w:p>
      <w:pPr>
        <w:pStyle w:val="BodyText"/>
        <w:spacing w:line="232" w:lineRule="auto"/>
        <w:ind w:left="100" w:right="227"/>
      </w:pPr>
      <w:r>
        <w:rPr/>
        <w:t>Marketing expenses in Q1 2020 were $365,000, or 7.8% of net sales, compared to $665,000, or 12.9% of net sales, in Q1 2019. Decreased marketing expenses was primarily the result of decreased staffing and decreased consulting expenses.</w:t>
      </w:r>
    </w:p>
    <w:p>
      <w:pPr>
        <w:pStyle w:val="BodyText"/>
        <w:spacing w:before="5"/>
        <w:rPr>
          <w:sz w:val="14"/>
        </w:rPr>
      </w:pPr>
    </w:p>
    <w:p>
      <w:pPr>
        <w:pStyle w:val="BodyText"/>
        <w:spacing w:line="299" w:lineRule="exact"/>
        <w:ind w:left="100"/>
      </w:pPr>
      <w:r>
        <w:rPr/>
        <w:t>General and administrative expenses in Q1 2020 were $993,000, or 21.2% of net sales, compared to</w:t>
      </w:r>
    </w:p>
    <w:p>
      <w:pPr>
        <w:pStyle w:val="BodyText"/>
        <w:spacing w:line="235" w:lineRule="auto" w:before="1"/>
        <w:ind w:left="100" w:right="451"/>
      </w:pPr>
      <w:r>
        <w:rPr/>
        <w:t>$708,000, or 13.8% of net sales, in Q1 2019 due to litigation expenses and collection of reserved accounts receivable balance that occurred in the three months ended March 31, 2019.</w:t>
      </w:r>
    </w:p>
    <w:p>
      <w:pPr>
        <w:pStyle w:val="BodyText"/>
        <w:spacing w:before="4"/>
        <w:rPr>
          <w:sz w:val="16"/>
        </w:rPr>
      </w:pPr>
    </w:p>
    <w:p>
      <w:pPr>
        <w:pStyle w:val="BodyText"/>
        <w:spacing w:line="235" w:lineRule="auto" w:before="1"/>
        <w:ind w:left="100" w:right="310"/>
      </w:pPr>
      <w:r>
        <w:rPr/>
        <w:t>Income tax benefit for Q1 2020 was 20.5% of pretax loss, or a benefit of $222,000, compared to income tax benefit of 15.7% of pretax loss, or $204,000, in Q1 2019.</w:t>
      </w:r>
    </w:p>
    <w:p>
      <w:pPr>
        <w:pStyle w:val="BodyText"/>
        <w:spacing w:before="8"/>
        <w:rPr>
          <w:sz w:val="16"/>
        </w:rPr>
      </w:pPr>
    </w:p>
    <w:p>
      <w:pPr>
        <w:pStyle w:val="BodyText"/>
        <w:spacing w:line="232" w:lineRule="auto" w:before="1"/>
        <w:ind w:left="100" w:right="338"/>
      </w:pPr>
      <w:r>
        <w:rPr/>
        <w:t>As a result of the items above, the net loss for Q1 2020 was $863,000, or $0.07 per basic and diluted share, compared to a net loss of $1,096,000, or $0.09 per basic and diluted share, in Q1 2019.</w:t>
      </w:r>
    </w:p>
    <w:p>
      <w:pPr>
        <w:spacing w:after="0" w:line="232" w:lineRule="auto"/>
        <w:sectPr>
          <w:pgSz w:w="12240" w:h="15840"/>
          <w:pgMar w:top="940" w:bottom="280" w:left="1340" w:right="1320"/>
        </w:sectPr>
      </w:pPr>
    </w:p>
    <w:p>
      <w:pPr>
        <w:pStyle w:val="BodyText"/>
        <w:spacing w:line="235" w:lineRule="auto"/>
        <w:ind w:left="100" w:right="1019"/>
      </w:pPr>
      <w:r>
        <w:rPr/>
        <w:t>As of March 31, 2020, cash and cash equivalents totaled $7,755,000, compared to $7,510,000 as of December 31, 2019.</w:t>
      </w:r>
    </w:p>
    <w:p>
      <w:pPr>
        <w:pStyle w:val="BodyText"/>
        <w:rPr>
          <w:sz w:val="20"/>
        </w:rPr>
      </w:pPr>
    </w:p>
    <w:p>
      <w:pPr>
        <w:pStyle w:val="BodyText"/>
        <w:spacing w:before="2"/>
        <w:rPr>
          <w:sz w:val="18"/>
        </w:rPr>
      </w:pPr>
    </w:p>
    <w:p>
      <w:pPr>
        <w:pStyle w:val="Heading1"/>
      </w:pPr>
      <w:r>
        <w:rPr>
          <w:w w:val="95"/>
          <w:u w:val="single"/>
        </w:rPr>
        <w:t>About Insignia Systems, Inc.</w:t>
      </w:r>
    </w:p>
    <w:p>
      <w:pPr>
        <w:pStyle w:val="BodyText"/>
        <w:spacing w:line="204" w:lineRule="auto" w:before="85"/>
        <w:ind w:left="100" w:right="218"/>
        <w:jc w:val="both"/>
      </w:pPr>
      <w:r>
        <w:rPr/>
        <w:t>Insignia Systems, Inc. sells product solutions ranging from in-store to digital advertising. Consumer-packaged goods (CPG) manufacturers and retailers across the country rely on our deep expertise in the dynamic retail environment to provide a full suite of shopper engagement solutions.</w:t>
      </w:r>
    </w:p>
    <w:p>
      <w:pPr>
        <w:pStyle w:val="BodyText"/>
        <w:spacing w:before="10"/>
        <w:rPr>
          <w:sz w:val="17"/>
        </w:rPr>
      </w:pPr>
    </w:p>
    <w:p>
      <w:pPr>
        <w:pStyle w:val="BodyText"/>
        <w:spacing w:line="204" w:lineRule="auto"/>
        <w:ind w:left="100" w:right="190"/>
        <w:jc w:val="both"/>
      </w:pPr>
      <w:r>
        <w:rPr/>
        <w:t>For additional information, contact (800) 874-4648, or visit the Insignia website at </w:t>
      </w:r>
      <w:hyperlink r:id="rId6">
        <w:r>
          <w:rPr>
            <w:color w:val="0000FF"/>
            <w:u w:val="single" w:color="0000FF"/>
          </w:rPr>
          <w:t>www.insigniasystems.com</w:t>
        </w:r>
      </w:hyperlink>
      <w:r>
        <w:rPr>
          <w:color w:val="0000FF"/>
        </w:rPr>
        <w:t> </w:t>
      </w:r>
      <w:r>
        <w:rPr/>
        <w:t>Investor inquiries can be submitted to </w:t>
      </w:r>
      <w:hyperlink r:id="rId7">
        <w:r>
          <w:rPr>
            <w:color w:val="0000FF"/>
            <w:u w:val="single" w:color="0000FF"/>
          </w:rPr>
          <w:t>investorrelations@insigniasystems.com.</w:t>
        </w:r>
      </w:hyperlink>
    </w:p>
    <w:p>
      <w:pPr>
        <w:pStyle w:val="BodyText"/>
        <w:rPr>
          <w:sz w:val="20"/>
        </w:rPr>
      </w:pPr>
    </w:p>
    <w:p>
      <w:pPr>
        <w:pStyle w:val="BodyText"/>
        <w:spacing w:before="4"/>
        <w:rPr>
          <w:sz w:val="17"/>
        </w:rPr>
      </w:pPr>
    </w:p>
    <w:p>
      <w:pPr>
        <w:pStyle w:val="Heading1"/>
        <w:spacing w:line="254" w:lineRule="auto" w:before="62"/>
      </w:pPr>
      <w:r>
        <w:rPr>
          <w:w w:val="90"/>
        </w:rPr>
        <w:t>Cautionary</w:t>
      </w:r>
      <w:r>
        <w:rPr>
          <w:spacing w:val="-27"/>
          <w:w w:val="90"/>
        </w:rPr>
        <w:t> </w:t>
      </w:r>
      <w:r>
        <w:rPr>
          <w:w w:val="90"/>
        </w:rPr>
        <w:t>Statement</w:t>
      </w:r>
      <w:r>
        <w:rPr>
          <w:spacing w:val="-26"/>
          <w:w w:val="90"/>
        </w:rPr>
        <w:t> </w:t>
      </w:r>
      <w:r>
        <w:rPr>
          <w:w w:val="90"/>
        </w:rPr>
        <w:t>for</w:t>
      </w:r>
      <w:r>
        <w:rPr>
          <w:spacing w:val="-28"/>
          <w:w w:val="90"/>
        </w:rPr>
        <w:t> </w:t>
      </w:r>
      <w:r>
        <w:rPr>
          <w:w w:val="90"/>
        </w:rPr>
        <w:t>the</w:t>
      </w:r>
      <w:r>
        <w:rPr>
          <w:spacing w:val="-25"/>
          <w:w w:val="90"/>
        </w:rPr>
        <w:t> </w:t>
      </w:r>
      <w:r>
        <w:rPr>
          <w:w w:val="90"/>
        </w:rPr>
        <w:t>Purpose</w:t>
      </w:r>
      <w:r>
        <w:rPr>
          <w:spacing w:val="-26"/>
          <w:w w:val="90"/>
        </w:rPr>
        <w:t> </w:t>
      </w:r>
      <w:r>
        <w:rPr>
          <w:w w:val="90"/>
        </w:rPr>
        <w:t>of</w:t>
      </w:r>
      <w:r>
        <w:rPr>
          <w:spacing w:val="-27"/>
          <w:w w:val="90"/>
        </w:rPr>
        <w:t> </w:t>
      </w:r>
      <w:r>
        <w:rPr>
          <w:w w:val="90"/>
        </w:rPr>
        <w:t>Safe</w:t>
      </w:r>
      <w:r>
        <w:rPr>
          <w:spacing w:val="-27"/>
          <w:w w:val="90"/>
        </w:rPr>
        <w:t> </w:t>
      </w:r>
      <w:r>
        <w:rPr>
          <w:w w:val="90"/>
        </w:rPr>
        <w:t>Harbor</w:t>
      </w:r>
      <w:r>
        <w:rPr>
          <w:spacing w:val="-25"/>
          <w:w w:val="90"/>
        </w:rPr>
        <w:t> </w:t>
      </w:r>
      <w:r>
        <w:rPr>
          <w:w w:val="90"/>
        </w:rPr>
        <w:t>Provisions</w:t>
      </w:r>
      <w:r>
        <w:rPr>
          <w:spacing w:val="-26"/>
          <w:w w:val="90"/>
        </w:rPr>
        <w:t> </w:t>
      </w:r>
      <w:r>
        <w:rPr>
          <w:w w:val="90"/>
        </w:rPr>
        <w:t>of</w:t>
      </w:r>
      <w:r>
        <w:rPr>
          <w:spacing w:val="-27"/>
          <w:w w:val="90"/>
        </w:rPr>
        <w:t> </w:t>
      </w:r>
      <w:r>
        <w:rPr>
          <w:w w:val="90"/>
        </w:rPr>
        <w:t>the</w:t>
      </w:r>
      <w:r>
        <w:rPr>
          <w:spacing w:val="-27"/>
          <w:w w:val="90"/>
        </w:rPr>
        <w:t> </w:t>
      </w:r>
      <w:r>
        <w:rPr>
          <w:w w:val="90"/>
        </w:rPr>
        <w:t>Private</w:t>
      </w:r>
      <w:r>
        <w:rPr>
          <w:spacing w:val="-27"/>
          <w:w w:val="90"/>
        </w:rPr>
        <w:t> </w:t>
      </w:r>
      <w:r>
        <w:rPr>
          <w:w w:val="90"/>
        </w:rPr>
        <w:t>Securities</w:t>
      </w:r>
      <w:r>
        <w:rPr>
          <w:spacing w:val="-25"/>
          <w:w w:val="90"/>
        </w:rPr>
        <w:t> </w:t>
      </w:r>
      <w:r>
        <w:rPr>
          <w:w w:val="90"/>
        </w:rPr>
        <w:t>Litigation</w:t>
      </w:r>
      <w:r>
        <w:rPr>
          <w:spacing w:val="-27"/>
          <w:w w:val="90"/>
        </w:rPr>
        <w:t> </w:t>
      </w:r>
      <w:r>
        <w:rPr>
          <w:w w:val="90"/>
        </w:rPr>
        <w:t>Reform </w:t>
      </w:r>
      <w:r>
        <w:rPr/>
        <w:t>Act of</w:t>
      </w:r>
      <w:r>
        <w:rPr>
          <w:spacing w:val="-23"/>
        </w:rPr>
        <w:t> </w:t>
      </w:r>
      <w:r>
        <w:rPr/>
        <w:t>1995</w:t>
      </w:r>
    </w:p>
    <w:p>
      <w:pPr>
        <w:pStyle w:val="BodyText"/>
        <w:spacing w:before="2"/>
        <w:rPr>
          <w:rFonts w:ascii="Arial"/>
          <w:b/>
          <w:sz w:val="22"/>
        </w:rPr>
      </w:pPr>
    </w:p>
    <w:p>
      <w:pPr>
        <w:pStyle w:val="BodyText"/>
        <w:spacing w:line="232" w:lineRule="auto" w:before="1"/>
        <w:ind w:left="100" w:right="111"/>
        <w:jc w:val="both"/>
      </w:pPr>
      <w:r>
        <w:rPr/>
        <w:t>Statements in this press release that are not statements of historical or current facts are considered forward- looking</w:t>
      </w:r>
      <w:r>
        <w:rPr>
          <w:spacing w:val="-7"/>
        </w:rPr>
        <w:t> </w:t>
      </w:r>
      <w:r>
        <w:rPr/>
        <w:t>statements</w:t>
      </w:r>
      <w:r>
        <w:rPr>
          <w:spacing w:val="-7"/>
        </w:rPr>
        <w:t> </w:t>
      </w:r>
      <w:r>
        <w:rPr/>
        <w:t>within</w:t>
      </w:r>
      <w:r>
        <w:rPr>
          <w:spacing w:val="-9"/>
        </w:rPr>
        <w:t> </w:t>
      </w:r>
      <w:r>
        <w:rPr/>
        <w:t>the</w:t>
      </w:r>
      <w:r>
        <w:rPr>
          <w:spacing w:val="-5"/>
        </w:rPr>
        <w:t> </w:t>
      </w:r>
      <w:r>
        <w:rPr/>
        <w:t>meaning</w:t>
      </w:r>
      <w:r>
        <w:rPr>
          <w:spacing w:val="-10"/>
        </w:rPr>
        <w:t> </w:t>
      </w:r>
      <w:r>
        <w:rPr/>
        <w:t>of</w:t>
      </w:r>
      <w:r>
        <w:rPr>
          <w:spacing w:val="-8"/>
        </w:rPr>
        <w:t> </w:t>
      </w:r>
      <w:r>
        <w:rPr/>
        <w:t>the</w:t>
      </w:r>
      <w:r>
        <w:rPr>
          <w:spacing w:val="-8"/>
        </w:rPr>
        <w:t> </w:t>
      </w:r>
      <w:r>
        <w:rPr/>
        <w:t>safe</w:t>
      </w:r>
      <w:r>
        <w:rPr>
          <w:spacing w:val="-8"/>
        </w:rPr>
        <w:t> </w:t>
      </w:r>
      <w:r>
        <w:rPr/>
        <w:t>harbor</w:t>
      </w:r>
      <w:r>
        <w:rPr>
          <w:spacing w:val="-7"/>
        </w:rPr>
        <w:t> </w:t>
      </w:r>
      <w:r>
        <w:rPr/>
        <w:t>provisions</w:t>
      </w:r>
      <w:r>
        <w:rPr>
          <w:spacing w:val="-7"/>
        </w:rPr>
        <w:t> </w:t>
      </w:r>
      <w:r>
        <w:rPr/>
        <w:t>of</w:t>
      </w:r>
      <w:r>
        <w:rPr>
          <w:spacing w:val="-8"/>
        </w:rPr>
        <w:t> </w:t>
      </w:r>
      <w:r>
        <w:rPr/>
        <w:t>the</w:t>
      </w:r>
      <w:r>
        <w:rPr>
          <w:spacing w:val="-11"/>
        </w:rPr>
        <w:t> </w:t>
      </w:r>
      <w:r>
        <w:rPr/>
        <w:t>Private</w:t>
      </w:r>
      <w:r>
        <w:rPr>
          <w:spacing w:val="-5"/>
        </w:rPr>
        <w:t> </w:t>
      </w:r>
      <w:r>
        <w:rPr/>
        <w:t>Securities</w:t>
      </w:r>
      <w:r>
        <w:rPr>
          <w:spacing w:val="-6"/>
        </w:rPr>
        <w:t> </w:t>
      </w:r>
      <w:r>
        <w:rPr/>
        <w:t>Litigation</w:t>
      </w:r>
      <w:r>
        <w:rPr>
          <w:spacing w:val="-9"/>
        </w:rPr>
        <w:t> </w:t>
      </w:r>
      <w:r>
        <w:rPr/>
        <w:t>Reform Act of 1995, as amended. The words “anticipate,” “continue,” “expect,” “intend,” “remain,” “seek,” “will” and similar</w:t>
      </w:r>
      <w:r>
        <w:rPr>
          <w:spacing w:val="-6"/>
        </w:rPr>
        <w:t> </w:t>
      </w:r>
      <w:r>
        <w:rPr/>
        <w:t>expressions</w:t>
      </w:r>
      <w:r>
        <w:rPr>
          <w:spacing w:val="-7"/>
        </w:rPr>
        <w:t> </w:t>
      </w:r>
      <w:r>
        <w:rPr/>
        <w:t>identify</w:t>
      </w:r>
      <w:r>
        <w:rPr>
          <w:spacing w:val="-8"/>
        </w:rPr>
        <w:t> </w:t>
      </w:r>
      <w:r>
        <w:rPr/>
        <w:t>forward-looking</w:t>
      </w:r>
      <w:r>
        <w:rPr>
          <w:spacing w:val="-8"/>
        </w:rPr>
        <w:t> </w:t>
      </w:r>
      <w:r>
        <w:rPr/>
        <w:t>statements.</w:t>
      </w:r>
      <w:r>
        <w:rPr>
          <w:spacing w:val="-9"/>
        </w:rPr>
        <w:t> </w:t>
      </w:r>
      <w:r>
        <w:rPr/>
        <w:t>Readers</w:t>
      </w:r>
      <w:r>
        <w:rPr>
          <w:spacing w:val="-7"/>
        </w:rPr>
        <w:t> </w:t>
      </w:r>
      <w:r>
        <w:rPr/>
        <w:t>are</w:t>
      </w:r>
      <w:r>
        <w:rPr>
          <w:spacing w:val="-5"/>
        </w:rPr>
        <w:t> </w:t>
      </w:r>
      <w:r>
        <w:rPr/>
        <w:t>cautioned</w:t>
      </w:r>
      <w:r>
        <w:rPr>
          <w:spacing w:val="-7"/>
        </w:rPr>
        <w:t> </w:t>
      </w:r>
      <w:r>
        <w:rPr/>
        <w:t>not</w:t>
      </w:r>
      <w:r>
        <w:rPr>
          <w:spacing w:val="-7"/>
        </w:rPr>
        <w:t> </w:t>
      </w:r>
      <w:r>
        <w:rPr/>
        <w:t>to</w:t>
      </w:r>
      <w:r>
        <w:rPr>
          <w:spacing w:val="-7"/>
        </w:rPr>
        <w:t> </w:t>
      </w:r>
      <w:r>
        <w:rPr/>
        <w:t>place</w:t>
      </w:r>
      <w:r>
        <w:rPr>
          <w:spacing w:val="-5"/>
        </w:rPr>
        <w:t> </w:t>
      </w:r>
      <w:r>
        <w:rPr/>
        <w:t>undue</w:t>
      </w:r>
      <w:r>
        <w:rPr>
          <w:spacing w:val="-6"/>
        </w:rPr>
        <w:t> </w:t>
      </w:r>
      <w:r>
        <w:rPr/>
        <w:t>reliance</w:t>
      </w:r>
      <w:r>
        <w:rPr>
          <w:spacing w:val="-6"/>
        </w:rPr>
        <w:t> </w:t>
      </w:r>
      <w:r>
        <w:rPr/>
        <w:t>on these or any forward-looking statements, which speak only as of the date of this press release. Statements made in this press release regarding, for instance, anticipated future profitability, future service revenues, innovation and transformation of Insignia’s business, allocations of resources, benefits of new relationships, and the impacts of the COVID-19 pandemic and efforts to mitigate the same are forward-looking statements. These</w:t>
      </w:r>
      <w:r>
        <w:rPr>
          <w:spacing w:val="-6"/>
        </w:rPr>
        <w:t> </w:t>
      </w:r>
      <w:r>
        <w:rPr/>
        <w:t>forward-looking</w:t>
      </w:r>
      <w:r>
        <w:rPr>
          <w:spacing w:val="-6"/>
        </w:rPr>
        <w:t> </w:t>
      </w:r>
      <w:r>
        <w:rPr/>
        <w:t>statements</w:t>
      </w:r>
      <w:r>
        <w:rPr>
          <w:spacing w:val="-7"/>
        </w:rPr>
        <w:t> </w:t>
      </w:r>
      <w:r>
        <w:rPr/>
        <w:t>are</w:t>
      </w:r>
      <w:r>
        <w:rPr>
          <w:spacing w:val="-4"/>
        </w:rPr>
        <w:t> </w:t>
      </w:r>
      <w:r>
        <w:rPr/>
        <w:t>based</w:t>
      </w:r>
      <w:r>
        <w:rPr>
          <w:spacing w:val="-3"/>
        </w:rPr>
        <w:t> </w:t>
      </w:r>
      <w:r>
        <w:rPr/>
        <w:t>on</w:t>
      </w:r>
      <w:r>
        <w:rPr>
          <w:spacing w:val="-7"/>
        </w:rPr>
        <w:t> </w:t>
      </w:r>
      <w:r>
        <w:rPr/>
        <w:t>current</w:t>
      </w:r>
      <w:r>
        <w:rPr>
          <w:spacing w:val="-2"/>
        </w:rPr>
        <w:t> </w:t>
      </w:r>
      <w:r>
        <w:rPr/>
        <w:t>information,</w:t>
      </w:r>
      <w:r>
        <w:rPr>
          <w:spacing w:val="-7"/>
        </w:rPr>
        <w:t> </w:t>
      </w:r>
      <w:r>
        <w:rPr/>
        <w:t>which</w:t>
      </w:r>
      <w:r>
        <w:rPr>
          <w:spacing w:val="-7"/>
        </w:rPr>
        <w:t> </w:t>
      </w:r>
      <w:r>
        <w:rPr/>
        <w:t>we</w:t>
      </w:r>
      <w:r>
        <w:rPr>
          <w:spacing w:val="-6"/>
        </w:rPr>
        <w:t> </w:t>
      </w:r>
      <w:r>
        <w:rPr/>
        <w:t>have</w:t>
      </w:r>
      <w:r>
        <w:rPr>
          <w:spacing w:val="-5"/>
        </w:rPr>
        <w:t> </w:t>
      </w:r>
      <w:r>
        <w:rPr/>
        <w:t>assessed</w:t>
      </w:r>
      <w:r>
        <w:rPr>
          <w:spacing w:val="-4"/>
        </w:rPr>
        <w:t> </w:t>
      </w:r>
      <w:r>
        <w:rPr/>
        <w:t>and</w:t>
      </w:r>
      <w:r>
        <w:rPr>
          <w:spacing w:val="-6"/>
        </w:rPr>
        <w:t> </w:t>
      </w:r>
      <w:r>
        <w:rPr/>
        <w:t>which</w:t>
      </w:r>
      <w:r>
        <w:rPr>
          <w:spacing w:val="-5"/>
        </w:rPr>
        <w:t> </w:t>
      </w:r>
      <w:r>
        <w:rPr/>
        <w:t>by</w:t>
      </w:r>
      <w:r>
        <w:rPr>
          <w:spacing w:val="-3"/>
        </w:rPr>
        <w:t> </w:t>
      </w:r>
      <w:r>
        <w:rPr/>
        <w:t>its nature is dynamic and subject to rapid and even abrupt changes. As such, actual results may differ materially from the results or performance expressed or implied by such forward-looking statements. Forward-looking statements involve known and unknown risks, uncertainties and other factors, including those set forth in our Annual Report on Form 10-K for the year ended December 31, 2019 and additional risks, if any, identified in our Quarterly Reports on Form 10-Q and our Current Reports on Forms 8-K filed with the SEC. Such forward- looking statements should be read in conjunction with Insignia's filings with the SEC. Insignia assumes no responsibility to update the forward-looking statements contained in this press release or the reasons why actual results would differ from those anticipated in any such forward-looking statement, other than as required by law.</w:t>
      </w:r>
    </w:p>
    <w:p>
      <w:pPr>
        <w:spacing w:after="0" w:line="232" w:lineRule="auto"/>
        <w:jc w:val="both"/>
        <w:sectPr>
          <w:pgSz w:w="12240" w:h="15840"/>
          <w:pgMar w:top="940" w:bottom="280" w:left="1340" w:right="1320"/>
        </w:sectPr>
      </w:pPr>
    </w:p>
    <w:p>
      <w:pPr>
        <w:spacing w:before="54"/>
        <w:ind w:left="3210" w:right="3220" w:firstLine="0"/>
        <w:jc w:val="center"/>
        <w:rPr>
          <w:rFonts w:ascii="Arial"/>
          <w:b/>
          <w:sz w:val="19"/>
        </w:rPr>
      </w:pPr>
      <w:r>
        <w:rPr>
          <w:rFonts w:ascii="Arial"/>
          <w:b/>
          <w:sz w:val="19"/>
        </w:rPr>
        <w:t>Insignia Systems, Inc.</w:t>
      </w:r>
    </w:p>
    <w:p>
      <w:pPr>
        <w:spacing w:line="218" w:lineRule="exact" w:before="43"/>
        <w:ind w:left="3165" w:right="3220" w:firstLine="0"/>
        <w:jc w:val="center"/>
        <w:rPr>
          <w:rFonts w:ascii="Arial"/>
          <w:b/>
          <w:sz w:val="19"/>
        </w:rPr>
      </w:pPr>
      <w:r>
        <w:rPr>
          <w:rFonts w:ascii="Arial"/>
          <w:b/>
          <w:sz w:val="19"/>
        </w:rPr>
        <w:t>STATEMENTS OF OPERATIONS</w:t>
      </w:r>
    </w:p>
    <w:p>
      <w:pPr>
        <w:spacing w:line="274" w:lineRule="exact" w:before="0"/>
        <w:ind w:left="3219" w:right="3220" w:firstLine="0"/>
        <w:jc w:val="center"/>
        <w:rPr>
          <w:sz w:val="19"/>
        </w:rPr>
      </w:pPr>
      <w:r>
        <w:rPr>
          <w:w w:val="115"/>
          <w:sz w:val="19"/>
        </w:rPr>
        <w:t>(Unaudited)</w:t>
      </w:r>
    </w:p>
    <w:p>
      <w:pPr>
        <w:pStyle w:val="BodyText"/>
        <w:spacing w:before="2"/>
        <w:rPr>
          <w:sz w:val="9"/>
        </w:rPr>
      </w:pPr>
    </w:p>
    <w:p>
      <w:pPr>
        <w:spacing w:line="230" w:lineRule="auto" w:before="32"/>
        <w:ind w:left="6204" w:right="1937" w:hanging="445"/>
        <w:jc w:val="left"/>
        <w:rPr>
          <w:sz w:val="19"/>
        </w:rPr>
      </w:pPr>
      <w:r>
        <w:rPr>
          <w:w w:val="115"/>
          <w:sz w:val="19"/>
        </w:rPr>
        <w:t>Three Months Ended March 31,</w:t>
      </w:r>
    </w:p>
    <w:p>
      <w:pPr>
        <w:pStyle w:val="BodyText"/>
        <w:spacing w:before="9"/>
        <w:rPr>
          <w:sz w:val="5"/>
        </w:rPr>
      </w:pPr>
    </w:p>
    <w:tbl>
      <w:tblPr>
        <w:tblW w:w="0" w:type="auto"/>
        <w:jc w:val="left"/>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40"/>
        <w:gridCol w:w="1760"/>
        <w:gridCol w:w="290"/>
        <w:gridCol w:w="1438"/>
      </w:tblGrid>
      <w:tr>
        <w:trPr>
          <w:trHeight w:val="290" w:hRule="atLeast"/>
        </w:trPr>
        <w:tc>
          <w:tcPr>
            <w:tcW w:w="3740" w:type="dxa"/>
          </w:tcPr>
          <w:p>
            <w:pPr>
              <w:pStyle w:val="TableParagraph"/>
              <w:rPr>
                <w:rFonts w:ascii="Times New Roman"/>
                <w:sz w:val="20"/>
              </w:rPr>
            </w:pPr>
          </w:p>
        </w:tc>
        <w:tc>
          <w:tcPr>
            <w:tcW w:w="1760" w:type="dxa"/>
          </w:tcPr>
          <w:p>
            <w:pPr>
              <w:pStyle w:val="TableParagraph"/>
              <w:tabs>
                <w:tab w:pos="673" w:val="left" w:leader="none"/>
                <w:tab w:pos="1760" w:val="left" w:leader="none"/>
              </w:tabs>
              <w:spacing w:line="196" w:lineRule="exact"/>
              <w:ind w:right="-15"/>
              <w:rPr>
                <w:sz w:val="19"/>
              </w:rPr>
            </w:pPr>
            <w:r>
              <w:rPr>
                <w:w w:val="112"/>
                <w:sz w:val="19"/>
                <w:u w:val="single"/>
              </w:rPr>
              <w:t> </w:t>
            </w:r>
            <w:r>
              <w:rPr>
                <w:sz w:val="19"/>
                <w:u w:val="single"/>
              </w:rPr>
              <w:tab/>
            </w:r>
            <w:r>
              <w:rPr>
                <w:w w:val="115"/>
                <w:sz w:val="19"/>
                <w:u w:val="single"/>
              </w:rPr>
              <w:t>2020</w:t>
            </w:r>
            <w:r>
              <w:rPr>
                <w:sz w:val="19"/>
                <w:u w:val="single"/>
              </w:rPr>
              <w:tab/>
            </w:r>
          </w:p>
        </w:tc>
        <w:tc>
          <w:tcPr>
            <w:tcW w:w="290" w:type="dxa"/>
          </w:tcPr>
          <w:p>
            <w:pPr>
              <w:pStyle w:val="TableParagraph"/>
              <w:rPr>
                <w:rFonts w:ascii="Times New Roman"/>
                <w:sz w:val="20"/>
              </w:rPr>
            </w:pPr>
          </w:p>
        </w:tc>
        <w:tc>
          <w:tcPr>
            <w:tcW w:w="1438" w:type="dxa"/>
          </w:tcPr>
          <w:p>
            <w:pPr>
              <w:pStyle w:val="TableParagraph"/>
              <w:tabs>
                <w:tab w:pos="505" w:val="left" w:leader="none"/>
                <w:tab w:pos="1439" w:val="left" w:leader="none"/>
              </w:tabs>
              <w:spacing w:line="196" w:lineRule="exact"/>
              <w:ind w:right="-15"/>
              <w:jc w:val="right"/>
              <w:rPr>
                <w:sz w:val="19"/>
              </w:rPr>
            </w:pPr>
            <w:r>
              <w:rPr>
                <w:w w:val="112"/>
                <w:sz w:val="19"/>
                <w:u w:val="single"/>
              </w:rPr>
              <w:t> </w:t>
            </w:r>
            <w:r>
              <w:rPr>
                <w:sz w:val="19"/>
                <w:u w:val="single"/>
              </w:rPr>
              <w:tab/>
            </w:r>
            <w:r>
              <w:rPr>
                <w:w w:val="115"/>
                <w:sz w:val="19"/>
                <w:u w:val="single"/>
              </w:rPr>
              <w:t>2019</w:t>
            </w:r>
            <w:r>
              <w:rPr>
                <w:sz w:val="19"/>
                <w:u w:val="single"/>
              </w:rPr>
              <w:tab/>
            </w:r>
          </w:p>
        </w:tc>
      </w:tr>
      <w:tr>
        <w:trPr>
          <w:trHeight w:val="324" w:hRule="atLeast"/>
        </w:trPr>
        <w:tc>
          <w:tcPr>
            <w:tcW w:w="3740" w:type="dxa"/>
          </w:tcPr>
          <w:p>
            <w:pPr>
              <w:pStyle w:val="TableParagraph"/>
              <w:spacing w:before="19"/>
              <w:ind w:left="50"/>
              <w:rPr>
                <w:sz w:val="19"/>
              </w:rPr>
            </w:pPr>
            <w:r>
              <w:rPr>
                <w:w w:val="115"/>
                <w:sz w:val="19"/>
              </w:rPr>
              <w:t>Net sales</w:t>
            </w:r>
          </w:p>
        </w:tc>
        <w:tc>
          <w:tcPr>
            <w:tcW w:w="1760" w:type="dxa"/>
          </w:tcPr>
          <w:p>
            <w:pPr>
              <w:pStyle w:val="TableParagraph"/>
              <w:tabs>
                <w:tab w:pos="780" w:val="left" w:leader="none"/>
              </w:tabs>
              <w:spacing w:before="19"/>
              <w:ind w:left="107"/>
              <w:rPr>
                <w:sz w:val="19"/>
              </w:rPr>
            </w:pPr>
            <w:r>
              <w:rPr>
                <w:w w:val="115"/>
                <w:sz w:val="19"/>
              </w:rPr>
              <w:t>$</w:t>
              <w:tab/>
              <w:t>4,682,000</w:t>
            </w:r>
          </w:p>
        </w:tc>
        <w:tc>
          <w:tcPr>
            <w:tcW w:w="290" w:type="dxa"/>
          </w:tcPr>
          <w:p>
            <w:pPr>
              <w:pStyle w:val="TableParagraph"/>
              <w:rPr>
                <w:rFonts w:ascii="Times New Roman"/>
                <w:sz w:val="20"/>
              </w:rPr>
            </w:pPr>
          </w:p>
        </w:tc>
        <w:tc>
          <w:tcPr>
            <w:tcW w:w="1438" w:type="dxa"/>
          </w:tcPr>
          <w:p>
            <w:pPr>
              <w:pStyle w:val="TableParagraph"/>
              <w:tabs>
                <w:tab w:pos="460" w:val="left" w:leader="none"/>
              </w:tabs>
              <w:spacing w:before="19"/>
              <w:ind w:left="108"/>
              <w:rPr>
                <w:sz w:val="19"/>
              </w:rPr>
            </w:pPr>
            <w:r>
              <w:rPr>
                <w:w w:val="115"/>
                <w:sz w:val="19"/>
              </w:rPr>
              <w:t>$</w:t>
              <w:tab/>
              <w:t>5,140,000</w:t>
            </w:r>
          </w:p>
        </w:tc>
      </w:tr>
      <w:tr>
        <w:trPr>
          <w:trHeight w:val="262" w:hRule="atLeast"/>
        </w:trPr>
        <w:tc>
          <w:tcPr>
            <w:tcW w:w="3740" w:type="dxa"/>
          </w:tcPr>
          <w:p>
            <w:pPr>
              <w:pStyle w:val="TableParagraph"/>
              <w:spacing w:line="231" w:lineRule="exact"/>
              <w:ind w:left="50"/>
              <w:rPr>
                <w:sz w:val="19"/>
              </w:rPr>
            </w:pPr>
            <w:r>
              <w:rPr>
                <w:w w:val="115"/>
                <w:sz w:val="19"/>
              </w:rPr>
              <w:t>Cost of sales</w:t>
            </w:r>
          </w:p>
        </w:tc>
        <w:tc>
          <w:tcPr>
            <w:tcW w:w="1760" w:type="dxa"/>
          </w:tcPr>
          <w:p>
            <w:pPr>
              <w:pStyle w:val="TableParagraph"/>
              <w:tabs>
                <w:tab w:pos="780" w:val="left" w:leader="none"/>
              </w:tabs>
              <w:spacing w:line="231" w:lineRule="exact"/>
              <w:ind w:right="-15"/>
              <w:rPr>
                <w:sz w:val="19"/>
              </w:rPr>
            </w:pPr>
            <w:r>
              <w:rPr>
                <w:w w:val="112"/>
                <w:sz w:val="19"/>
                <w:u w:val="single"/>
              </w:rPr>
              <w:t> </w:t>
            </w:r>
            <w:r>
              <w:rPr>
                <w:sz w:val="19"/>
                <w:u w:val="single"/>
              </w:rPr>
              <w:tab/>
            </w:r>
            <w:r>
              <w:rPr>
                <w:w w:val="115"/>
                <w:sz w:val="19"/>
                <w:u w:val="single"/>
              </w:rPr>
              <w:t>3,713,000</w:t>
            </w:r>
            <w:r>
              <w:rPr>
                <w:spacing w:val="-22"/>
                <w:sz w:val="19"/>
                <w:u w:val="single"/>
              </w:rPr>
              <w:t> </w:t>
            </w:r>
          </w:p>
        </w:tc>
        <w:tc>
          <w:tcPr>
            <w:tcW w:w="290" w:type="dxa"/>
          </w:tcPr>
          <w:p>
            <w:pPr>
              <w:pStyle w:val="TableParagraph"/>
              <w:rPr>
                <w:rFonts w:ascii="Times New Roman"/>
                <w:sz w:val="18"/>
              </w:rPr>
            </w:pPr>
          </w:p>
        </w:tc>
        <w:tc>
          <w:tcPr>
            <w:tcW w:w="1438" w:type="dxa"/>
          </w:tcPr>
          <w:p>
            <w:pPr>
              <w:pStyle w:val="TableParagraph"/>
              <w:tabs>
                <w:tab w:pos="459" w:val="left" w:leader="none"/>
              </w:tabs>
              <w:spacing w:line="231" w:lineRule="exact"/>
              <w:ind w:right="-15"/>
              <w:jc w:val="right"/>
              <w:rPr>
                <w:sz w:val="19"/>
              </w:rPr>
            </w:pPr>
            <w:r>
              <w:rPr>
                <w:w w:val="112"/>
                <w:sz w:val="19"/>
                <w:u w:val="single"/>
              </w:rPr>
              <w:t> </w:t>
            </w:r>
            <w:r>
              <w:rPr>
                <w:sz w:val="19"/>
                <w:u w:val="single"/>
              </w:rPr>
              <w:tab/>
            </w:r>
            <w:r>
              <w:rPr>
                <w:w w:val="110"/>
                <w:sz w:val="19"/>
                <w:u w:val="single"/>
              </w:rPr>
              <w:t>4,366,000</w:t>
            </w:r>
            <w:r>
              <w:rPr>
                <w:spacing w:val="-22"/>
                <w:sz w:val="19"/>
                <w:u w:val="single"/>
              </w:rPr>
              <w:t> </w:t>
            </w:r>
          </w:p>
        </w:tc>
      </w:tr>
      <w:tr>
        <w:trPr>
          <w:trHeight w:val="787" w:hRule="atLeast"/>
        </w:trPr>
        <w:tc>
          <w:tcPr>
            <w:tcW w:w="3740" w:type="dxa"/>
          </w:tcPr>
          <w:p>
            <w:pPr>
              <w:pStyle w:val="TableParagraph"/>
              <w:spacing w:line="225" w:lineRule="exact"/>
              <w:ind w:left="50"/>
              <w:rPr>
                <w:sz w:val="19"/>
              </w:rPr>
            </w:pPr>
            <w:r>
              <w:rPr>
                <w:w w:val="115"/>
                <w:sz w:val="19"/>
              </w:rPr>
              <w:t>Gross profit</w:t>
            </w:r>
          </w:p>
          <w:p>
            <w:pPr>
              <w:pStyle w:val="TableParagraph"/>
              <w:spacing w:line="230" w:lineRule="auto" w:before="3"/>
              <w:ind w:left="325" w:right="1851" w:hanging="276"/>
              <w:rPr>
                <w:sz w:val="19"/>
              </w:rPr>
            </w:pPr>
            <w:r>
              <w:rPr>
                <w:w w:val="115"/>
                <w:sz w:val="19"/>
              </w:rPr>
              <w:t>Operating expenses: Selling</w:t>
            </w:r>
          </w:p>
        </w:tc>
        <w:tc>
          <w:tcPr>
            <w:tcW w:w="1760" w:type="dxa"/>
          </w:tcPr>
          <w:p>
            <w:pPr>
              <w:pStyle w:val="TableParagraph"/>
              <w:spacing w:line="231" w:lineRule="exact"/>
              <w:ind w:left="949"/>
              <w:rPr>
                <w:sz w:val="19"/>
              </w:rPr>
            </w:pPr>
            <w:r>
              <w:rPr>
                <w:w w:val="115"/>
                <w:sz w:val="19"/>
              </w:rPr>
              <w:t>969,000</w:t>
            </w:r>
          </w:p>
          <w:p>
            <w:pPr>
              <w:pStyle w:val="TableParagraph"/>
              <w:spacing w:before="6"/>
              <w:rPr>
                <w:sz w:val="17"/>
              </w:rPr>
            </w:pPr>
          </w:p>
          <w:p>
            <w:pPr>
              <w:pStyle w:val="TableParagraph"/>
              <w:ind w:left="949"/>
              <w:rPr>
                <w:sz w:val="19"/>
              </w:rPr>
            </w:pPr>
            <w:r>
              <w:rPr>
                <w:w w:val="115"/>
                <w:sz w:val="19"/>
              </w:rPr>
              <w:t>720,000</w:t>
            </w:r>
          </w:p>
        </w:tc>
        <w:tc>
          <w:tcPr>
            <w:tcW w:w="290" w:type="dxa"/>
          </w:tcPr>
          <w:p>
            <w:pPr>
              <w:pStyle w:val="TableParagraph"/>
              <w:rPr>
                <w:rFonts w:ascii="Times New Roman"/>
                <w:sz w:val="20"/>
              </w:rPr>
            </w:pPr>
          </w:p>
        </w:tc>
        <w:tc>
          <w:tcPr>
            <w:tcW w:w="1438" w:type="dxa"/>
          </w:tcPr>
          <w:p>
            <w:pPr>
              <w:pStyle w:val="TableParagraph"/>
              <w:spacing w:line="231" w:lineRule="exact"/>
              <w:ind w:left="629"/>
              <w:rPr>
                <w:sz w:val="19"/>
              </w:rPr>
            </w:pPr>
            <w:r>
              <w:rPr>
                <w:w w:val="115"/>
                <w:sz w:val="19"/>
              </w:rPr>
              <w:t>774,000</w:t>
            </w:r>
          </w:p>
          <w:p>
            <w:pPr>
              <w:pStyle w:val="TableParagraph"/>
              <w:spacing w:before="6"/>
              <w:rPr>
                <w:sz w:val="17"/>
              </w:rPr>
            </w:pPr>
          </w:p>
          <w:p>
            <w:pPr>
              <w:pStyle w:val="TableParagraph"/>
              <w:ind w:left="629"/>
              <w:rPr>
                <w:sz w:val="19"/>
              </w:rPr>
            </w:pPr>
            <w:r>
              <w:rPr>
                <w:w w:val="115"/>
                <w:sz w:val="19"/>
              </w:rPr>
              <w:t>738,000</w:t>
            </w:r>
          </w:p>
        </w:tc>
      </w:tr>
      <w:tr>
        <w:trPr>
          <w:trHeight w:val="262" w:hRule="atLeast"/>
        </w:trPr>
        <w:tc>
          <w:tcPr>
            <w:tcW w:w="3740" w:type="dxa"/>
          </w:tcPr>
          <w:p>
            <w:pPr>
              <w:pStyle w:val="TableParagraph"/>
              <w:spacing w:line="231" w:lineRule="exact"/>
              <w:ind w:left="325"/>
              <w:rPr>
                <w:sz w:val="19"/>
              </w:rPr>
            </w:pPr>
            <w:r>
              <w:rPr>
                <w:w w:val="115"/>
                <w:sz w:val="19"/>
              </w:rPr>
              <w:t>Marketing</w:t>
            </w:r>
          </w:p>
        </w:tc>
        <w:tc>
          <w:tcPr>
            <w:tcW w:w="1760" w:type="dxa"/>
          </w:tcPr>
          <w:p>
            <w:pPr>
              <w:pStyle w:val="TableParagraph"/>
              <w:spacing w:line="231" w:lineRule="exact"/>
              <w:ind w:right="104"/>
              <w:jc w:val="right"/>
              <w:rPr>
                <w:sz w:val="19"/>
              </w:rPr>
            </w:pPr>
            <w:r>
              <w:rPr>
                <w:w w:val="110"/>
                <w:sz w:val="19"/>
              </w:rPr>
              <w:t>365,000</w:t>
            </w:r>
          </w:p>
        </w:tc>
        <w:tc>
          <w:tcPr>
            <w:tcW w:w="290" w:type="dxa"/>
          </w:tcPr>
          <w:p>
            <w:pPr>
              <w:pStyle w:val="TableParagraph"/>
              <w:rPr>
                <w:rFonts w:ascii="Times New Roman"/>
                <w:sz w:val="18"/>
              </w:rPr>
            </w:pPr>
          </w:p>
        </w:tc>
        <w:tc>
          <w:tcPr>
            <w:tcW w:w="1438" w:type="dxa"/>
          </w:tcPr>
          <w:p>
            <w:pPr>
              <w:pStyle w:val="TableParagraph"/>
              <w:spacing w:line="231" w:lineRule="exact"/>
              <w:ind w:right="102"/>
              <w:jc w:val="right"/>
              <w:rPr>
                <w:sz w:val="19"/>
              </w:rPr>
            </w:pPr>
            <w:r>
              <w:rPr>
                <w:w w:val="110"/>
                <w:sz w:val="19"/>
              </w:rPr>
              <w:t>665,000</w:t>
            </w:r>
          </w:p>
        </w:tc>
      </w:tr>
      <w:tr>
        <w:trPr>
          <w:trHeight w:val="345" w:hRule="atLeast"/>
        </w:trPr>
        <w:tc>
          <w:tcPr>
            <w:tcW w:w="3740" w:type="dxa"/>
          </w:tcPr>
          <w:p>
            <w:pPr>
              <w:pStyle w:val="TableParagraph"/>
              <w:spacing w:line="231" w:lineRule="exact"/>
              <w:ind w:left="325"/>
              <w:rPr>
                <w:sz w:val="19"/>
              </w:rPr>
            </w:pPr>
            <w:r>
              <w:rPr>
                <w:w w:val="115"/>
                <w:sz w:val="19"/>
              </w:rPr>
              <w:t>General and administrative</w:t>
            </w:r>
          </w:p>
        </w:tc>
        <w:tc>
          <w:tcPr>
            <w:tcW w:w="1760" w:type="dxa"/>
          </w:tcPr>
          <w:p>
            <w:pPr>
              <w:pStyle w:val="TableParagraph"/>
              <w:tabs>
                <w:tab w:pos="949" w:val="left" w:leader="none"/>
              </w:tabs>
              <w:spacing w:line="231" w:lineRule="exact"/>
              <w:ind w:right="-15"/>
              <w:rPr>
                <w:sz w:val="19"/>
              </w:rPr>
            </w:pPr>
            <w:r>
              <w:rPr>
                <w:w w:val="112"/>
                <w:sz w:val="19"/>
                <w:u w:val="single"/>
              </w:rPr>
              <w:t> </w:t>
            </w:r>
            <w:r>
              <w:rPr>
                <w:sz w:val="19"/>
                <w:u w:val="single"/>
              </w:rPr>
              <w:tab/>
            </w:r>
            <w:r>
              <w:rPr>
                <w:w w:val="115"/>
                <w:sz w:val="19"/>
                <w:u w:val="single"/>
              </w:rPr>
              <w:t>993,000</w:t>
            </w:r>
            <w:r>
              <w:rPr>
                <w:spacing w:val="20"/>
                <w:sz w:val="19"/>
                <w:u w:val="single"/>
              </w:rPr>
              <w:t> </w:t>
            </w:r>
          </w:p>
        </w:tc>
        <w:tc>
          <w:tcPr>
            <w:tcW w:w="290" w:type="dxa"/>
          </w:tcPr>
          <w:p>
            <w:pPr>
              <w:pStyle w:val="TableParagraph"/>
              <w:rPr>
                <w:rFonts w:ascii="Times New Roman"/>
                <w:sz w:val="20"/>
              </w:rPr>
            </w:pPr>
          </w:p>
        </w:tc>
        <w:tc>
          <w:tcPr>
            <w:tcW w:w="1438" w:type="dxa"/>
          </w:tcPr>
          <w:p>
            <w:pPr>
              <w:pStyle w:val="TableParagraph"/>
              <w:tabs>
                <w:tab w:pos="627" w:val="left" w:leader="none"/>
              </w:tabs>
              <w:spacing w:line="231" w:lineRule="exact"/>
              <w:ind w:right="-15"/>
              <w:jc w:val="right"/>
              <w:rPr>
                <w:sz w:val="19"/>
              </w:rPr>
            </w:pPr>
            <w:r>
              <w:rPr>
                <w:w w:val="112"/>
                <w:sz w:val="19"/>
                <w:u w:val="single"/>
              </w:rPr>
              <w:t> </w:t>
            </w:r>
            <w:r>
              <w:rPr>
                <w:sz w:val="19"/>
                <w:u w:val="single"/>
              </w:rPr>
              <w:tab/>
            </w:r>
            <w:r>
              <w:rPr>
                <w:spacing w:val="-1"/>
                <w:w w:val="110"/>
                <w:sz w:val="19"/>
                <w:u w:val="single"/>
              </w:rPr>
              <w:t>708,000</w:t>
            </w:r>
            <w:r>
              <w:rPr>
                <w:spacing w:val="20"/>
                <w:sz w:val="19"/>
                <w:u w:val="single"/>
              </w:rPr>
              <w:t> </w:t>
            </w:r>
          </w:p>
        </w:tc>
      </w:tr>
      <w:tr>
        <w:trPr>
          <w:trHeight w:val="345" w:hRule="atLeast"/>
        </w:trPr>
        <w:tc>
          <w:tcPr>
            <w:tcW w:w="3740" w:type="dxa"/>
          </w:tcPr>
          <w:p>
            <w:pPr>
              <w:pStyle w:val="TableParagraph"/>
              <w:spacing w:before="39"/>
              <w:ind w:left="50"/>
              <w:rPr>
                <w:sz w:val="19"/>
              </w:rPr>
            </w:pPr>
            <w:r>
              <w:rPr>
                <w:w w:val="115"/>
                <w:sz w:val="19"/>
              </w:rPr>
              <w:t>Operating loss</w:t>
            </w:r>
          </w:p>
        </w:tc>
        <w:tc>
          <w:tcPr>
            <w:tcW w:w="1760" w:type="dxa"/>
          </w:tcPr>
          <w:p>
            <w:pPr>
              <w:pStyle w:val="TableParagraph"/>
              <w:spacing w:before="39"/>
              <w:ind w:right="41"/>
              <w:jc w:val="right"/>
              <w:rPr>
                <w:sz w:val="19"/>
              </w:rPr>
            </w:pPr>
            <w:r>
              <w:rPr>
                <w:w w:val="110"/>
                <w:sz w:val="19"/>
              </w:rPr>
              <w:t>(1,109,000)</w:t>
            </w:r>
          </w:p>
        </w:tc>
        <w:tc>
          <w:tcPr>
            <w:tcW w:w="290" w:type="dxa"/>
          </w:tcPr>
          <w:p>
            <w:pPr>
              <w:pStyle w:val="TableParagraph"/>
              <w:rPr>
                <w:rFonts w:ascii="Times New Roman"/>
                <w:sz w:val="20"/>
              </w:rPr>
            </w:pPr>
          </w:p>
        </w:tc>
        <w:tc>
          <w:tcPr>
            <w:tcW w:w="1438" w:type="dxa"/>
          </w:tcPr>
          <w:p>
            <w:pPr>
              <w:pStyle w:val="TableParagraph"/>
              <w:spacing w:before="39"/>
              <w:ind w:right="39"/>
              <w:jc w:val="right"/>
              <w:rPr>
                <w:sz w:val="19"/>
              </w:rPr>
            </w:pPr>
            <w:r>
              <w:rPr>
                <w:w w:val="110"/>
                <w:sz w:val="19"/>
              </w:rPr>
              <w:t>(1,337,000)</w:t>
            </w:r>
          </w:p>
        </w:tc>
      </w:tr>
      <w:tr>
        <w:trPr>
          <w:trHeight w:val="345" w:hRule="atLeast"/>
        </w:trPr>
        <w:tc>
          <w:tcPr>
            <w:tcW w:w="3740" w:type="dxa"/>
          </w:tcPr>
          <w:p>
            <w:pPr>
              <w:pStyle w:val="TableParagraph"/>
              <w:spacing w:line="231" w:lineRule="exact"/>
              <w:ind w:left="50"/>
              <w:rPr>
                <w:sz w:val="19"/>
              </w:rPr>
            </w:pPr>
            <w:r>
              <w:rPr>
                <w:w w:val="115"/>
                <w:sz w:val="19"/>
              </w:rPr>
              <w:t>Other income, net</w:t>
            </w:r>
          </w:p>
        </w:tc>
        <w:tc>
          <w:tcPr>
            <w:tcW w:w="1760" w:type="dxa"/>
          </w:tcPr>
          <w:p>
            <w:pPr>
              <w:pStyle w:val="TableParagraph"/>
              <w:tabs>
                <w:tab w:pos="1056" w:val="left" w:leader="none"/>
              </w:tabs>
              <w:spacing w:line="231" w:lineRule="exact"/>
              <w:ind w:right="-15"/>
              <w:rPr>
                <w:sz w:val="19"/>
              </w:rPr>
            </w:pPr>
            <w:r>
              <w:rPr>
                <w:w w:val="112"/>
                <w:sz w:val="19"/>
                <w:u w:val="single"/>
              </w:rPr>
              <w:t> </w:t>
            </w:r>
            <w:r>
              <w:rPr>
                <w:sz w:val="19"/>
                <w:u w:val="single"/>
              </w:rPr>
              <w:tab/>
            </w:r>
            <w:r>
              <w:rPr>
                <w:w w:val="115"/>
                <w:sz w:val="19"/>
                <w:u w:val="single"/>
              </w:rPr>
              <w:t>24,000</w:t>
            </w:r>
            <w:r>
              <w:rPr>
                <w:spacing w:val="20"/>
                <w:sz w:val="19"/>
                <w:u w:val="single"/>
              </w:rPr>
              <w:t> </w:t>
            </w:r>
          </w:p>
        </w:tc>
        <w:tc>
          <w:tcPr>
            <w:tcW w:w="290" w:type="dxa"/>
          </w:tcPr>
          <w:p>
            <w:pPr>
              <w:pStyle w:val="TableParagraph"/>
              <w:rPr>
                <w:rFonts w:ascii="Times New Roman"/>
                <w:sz w:val="20"/>
              </w:rPr>
            </w:pPr>
          </w:p>
        </w:tc>
        <w:tc>
          <w:tcPr>
            <w:tcW w:w="1438" w:type="dxa"/>
          </w:tcPr>
          <w:p>
            <w:pPr>
              <w:pStyle w:val="TableParagraph"/>
              <w:tabs>
                <w:tab w:pos="734" w:val="left" w:leader="none"/>
              </w:tabs>
              <w:spacing w:line="231" w:lineRule="exact"/>
              <w:ind w:right="-15"/>
              <w:jc w:val="right"/>
              <w:rPr>
                <w:sz w:val="19"/>
              </w:rPr>
            </w:pPr>
            <w:r>
              <w:rPr>
                <w:w w:val="112"/>
                <w:sz w:val="19"/>
                <w:u w:val="single"/>
              </w:rPr>
              <w:t> </w:t>
            </w:r>
            <w:r>
              <w:rPr>
                <w:sz w:val="19"/>
                <w:u w:val="single"/>
              </w:rPr>
              <w:tab/>
            </w:r>
            <w:r>
              <w:rPr>
                <w:spacing w:val="-1"/>
                <w:w w:val="110"/>
                <w:sz w:val="19"/>
                <w:u w:val="single"/>
              </w:rPr>
              <w:t>37,000</w:t>
            </w:r>
            <w:r>
              <w:rPr>
                <w:spacing w:val="20"/>
                <w:sz w:val="19"/>
                <w:u w:val="single"/>
              </w:rPr>
              <w:t> </w:t>
            </w:r>
          </w:p>
        </w:tc>
      </w:tr>
      <w:tr>
        <w:trPr>
          <w:trHeight w:val="345" w:hRule="atLeast"/>
        </w:trPr>
        <w:tc>
          <w:tcPr>
            <w:tcW w:w="3740" w:type="dxa"/>
          </w:tcPr>
          <w:p>
            <w:pPr>
              <w:pStyle w:val="TableParagraph"/>
              <w:spacing w:before="39"/>
              <w:ind w:left="50"/>
              <w:rPr>
                <w:sz w:val="19"/>
              </w:rPr>
            </w:pPr>
            <w:r>
              <w:rPr>
                <w:w w:val="115"/>
                <w:sz w:val="19"/>
              </w:rPr>
              <w:t>Loss before taxes</w:t>
            </w:r>
          </w:p>
        </w:tc>
        <w:tc>
          <w:tcPr>
            <w:tcW w:w="1760" w:type="dxa"/>
          </w:tcPr>
          <w:p>
            <w:pPr>
              <w:pStyle w:val="TableParagraph"/>
              <w:spacing w:before="39"/>
              <w:ind w:right="41"/>
              <w:jc w:val="right"/>
              <w:rPr>
                <w:sz w:val="19"/>
              </w:rPr>
            </w:pPr>
            <w:r>
              <w:rPr>
                <w:w w:val="110"/>
                <w:sz w:val="19"/>
              </w:rPr>
              <w:t>(1,085,000)</w:t>
            </w:r>
          </w:p>
        </w:tc>
        <w:tc>
          <w:tcPr>
            <w:tcW w:w="290" w:type="dxa"/>
          </w:tcPr>
          <w:p>
            <w:pPr>
              <w:pStyle w:val="TableParagraph"/>
              <w:rPr>
                <w:rFonts w:ascii="Times New Roman"/>
                <w:sz w:val="20"/>
              </w:rPr>
            </w:pPr>
          </w:p>
        </w:tc>
        <w:tc>
          <w:tcPr>
            <w:tcW w:w="1438" w:type="dxa"/>
          </w:tcPr>
          <w:p>
            <w:pPr>
              <w:pStyle w:val="TableParagraph"/>
              <w:spacing w:before="39"/>
              <w:ind w:right="39"/>
              <w:jc w:val="right"/>
              <w:rPr>
                <w:sz w:val="19"/>
              </w:rPr>
            </w:pPr>
            <w:r>
              <w:rPr>
                <w:w w:val="110"/>
                <w:sz w:val="19"/>
              </w:rPr>
              <w:t>(1,300,000)</w:t>
            </w:r>
          </w:p>
        </w:tc>
      </w:tr>
      <w:tr>
        <w:trPr>
          <w:trHeight w:val="345" w:hRule="atLeast"/>
        </w:trPr>
        <w:tc>
          <w:tcPr>
            <w:tcW w:w="3740" w:type="dxa"/>
          </w:tcPr>
          <w:p>
            <w:pPr>
              <w:pStyle w:val="TableParagraph"/>
              <w:spacing w:line="231" w:lineRule="exact"/>
              <w:ind w:left="50"/>
              <w:rPr>
                <w:sz w:val="19"/>
              </w:rPr>
            </w:pPr>
            <w:r>
              <w:rPr>
                <w:w w:val="115"/>
                <w:sz w:val="19"/>
              </w:rPr>
              <w:t>Income tax benefit</w:t>
            </w:r>
          </w:p>
        </w:tc>
        <w:tc>
          <w:tcPr>
            <w:tcW w:w="1760" w:type="dxa"/>
          </w:tcPr>
          <w:p>
            <w:pPr>
              <w:pStyle w:val="TableParagraph"/>
              <w:tabs>
                <w:tab w:pos="887" w:val="left" w:leader="none"/>
              </w:tabs>
              <w:spacing w:line="231" w:lineRule="exact"/>
              <w:rPr>
                <w:sz w:val="19"/>
              </w:rPr>
            </w:pPr>
            <w:r>
              <w:rPr>
                <w:w w:val="112"/>
                <w:sz w:val="19"/>
                <w:u w:val="single"/>
              </w:rPr>
              <w:t> </w:t>
            </w:r>
            <w:r>
              <w:rPr>
                <w:sz w:val="19"/>
                <w:u w:val="single"/>
              </w:rPr>
              <w:tab/>
            </w:r>
            <w:r>
              <w:rPr>
                <w:w w:val="115"/>
                <w:sz w:val="19"/>
                <w:u w:val="single"/>
              </w:rPr>
              <w:t>(222,000)</w:t>
            </w:r>
          </w:p>
        </w:tc>
        <w:tc>
          <w:tcPr>
            <w:tcW w:w="290" w:type="dxa"/>
          </w:tcPr>
          <w:p>
            <w:pPr>
              <w:pStyle w:val="TableParagraph"/>
              <w:rPr>
                <w:rFonts w:ascii="Times New Roman"/>
                <w:sz w:val="20"/>
              </w:rPr>
            </w:pPr>
          </w:p>
        </w:tc>
        <w:tc>
          <w:tcPr>
            <w:tcW w:w="1438" w:type="dxa"/>
          </w:tcPr>
          <w:p>
            <w:pPr>
              <w:pStyle w:val="TableParagraph"/>
              <w:tabs>
                <w:tab w:pos="566" w:val="left" w:leader="none"/>
              </w:tabs>
              <w:spacing w:line="231" w:lineRule="exact"/>
              <w:ind w:right="38"/>
              <w:jc w:val="right"/>
              <w:rPr>
                <w:sz w:val="19"/>
              </w:rPr>
            </w:pPr>
            <w:r>
              <w:rPr>
                <w:w w:val="112"/>
                <w:sz w:val="19"/>
                <w:u w:val="single"/>
              </w:rPr>
              <w:t> </w:t>
            </w:r>
            <w:r>
              <w:rPr>
                <w:sz w:val="19"/>
                <w:u w:val="single"/>
              </w:rPr>
              <w:tab/>
            </w:r>
            <w:r>
              <w:rPr>
                <w:spacing w:val="-3"/>
                <w:w w:val="110"/>
                <w:sz w:val="19"/>
                <w:u w:val="single"/>
              </w:rPr>
              <w:t>(204,000)</w:t>
            </w:r>
          </w:p>
        </w:tc>
      </w:tr>
      <w:tr>
        <w:trPr>
          <w:trHeight w:val="345" w:hRule="atLeast"/>
        </w:trPr>
        <w:tc>
          <w:tcPr>
            <w:tcW w:w="3740" w:type="dxa"/>
          </w:tcPr>
          <w:p>
            <w:pPr>
              <w:pStyle w:val="TableParagraph"/>
              <w:spacing w:before="39"/>
              <w:ind w:left="50"/>
              <w:rPr>
                <w:sz w:val="19"/>
              </w:rPr>
            </w:pPr>
            <w:r>
              <w:rPr>
                <w:w w:val="115"/>
                <w:sz w:val="19"/>
              </w:rPr>
              <w:t>Net loss</w:t>
            </w:r>
          </w:p>
        </w:tc>
        <w:tc>
          <w:tcPr>
            <w:tcW w:w="1760" w:type="dxa"/>
            <w:tcBorders>
              <w:bottom w:val="single" w:sz="6" w:space="0" w:color="000000"/>
            </w:tcBorders>
          </w:tcPr>
          <w:p>
            <w:pPr>
              <w:pStyle w:val="TableParagraph"/>
              <w:tabs>
                <w:tab w:pos="887" w:val="left" w:leader="none"/>
              </w:tabs>
              <w:spacing w:before="39"/>
              <w:rPr>
                <w:sz w:val="19"/>
              </w:rPr>
            </w:pPr>
            <w:r>
              <w:rPr>
                <w:w w:val="112"/>
                <w:sz w:val="19"/>
                <w:u w:val="single"/>
              </w:rPr>
              <w:t> </w:t>
            </w:r>
            <w:r>
              <w:rPr>
                <w:spacing w:val="15"/>
                <w:sz w:val="19"/>
                <w:u w:val="single"/>
              </w:rPr>
              <w:t> </w:t>
            </w:r>
            <w:r>
              <w:rPr>
                <w:w w:val="115"/>
                <w:sz w:val="19"/>
                <w:u w:val="single"/>
              </w:rPr>
              <w:t>$</w:t>
              <w:tab/>
              <w:t>(863,000)</w:t>
            </w:r>
          </w:p>
        </w:tc>
        <w:tc>
          <w:tcPr>
            <w:tcW w:w="290" w:type="dxa"/>
          </w:tcPr>
          <w:p>
            <w:pPr>
              <w:pStyle w:val="TableParagraph"/>
              <w:rPr>
                <w:rFonts w:ascii="Times New Roman"/>
                <w:sz w:val="20"/>
              </w:rPr>
            </w:pPr>
          </w:p>
        </w:tc>
        <w:tc>
          <w:tcPr>
            <w:tcW w:w="1438" w:type="dxa"/>
            <w:tcBorders>
              <w:bottom w:val="single" w:sz="6" w:space="0" w:color="000000"/>
            </w:tcBorders>
          </w:tcPr>
          <w:p>
            <w:pPr>
              <w:pStyle w:val="TableParagraph"/>
              <w:spacing w:before="39"/>
              <w:ind w:right="39"/>
              <w:jc w:val="right"/>
              <w:rPr>
                <w:sz w:val="19"/>
              </w:rPr>
            </w:pPr>
            <w:r>
              <w:rPr>
                <w:w w:val="115"/>
                <w:sz w:val="19"/>
              </w:rPr>
              <w:t>$ (1,096,000)</w:t>
            </w:r>
          </w:p>
        </w:tc>
      </w:tr>
      <w:tr>
        <w:trPr>
          <w:trHeight w:val="855" w:hRule="atLeast"/>
        </w:trPr>
        <w:tc>
          <w:tcPr>
            <w:tcW w:w="3740" w:type="dxa"/>
          </w:tcPr>
          <w:p>
            <w:pPr>
              <w:pStyle w:val="TableParagraph"/>
              <w:spacing w:before="8"/>
              <w:rPr>
                <w:sz w:val="20"/>
              </w:rPr>
            </w:pPr>
          </w:p>
          <w:p>
            <w:pPr>
              <w:pStyle w:val="TableParagraph"/>
              <w:spacing w:line="230" w:lineRule="auto"/>
              <w:ind w:left="325" w:right="2015" w:hanging="276"/>
              <w:rPr>
                <w:sz w:val="19"/>
              </w:rPr>
            </w:pPr>
            <w:r>
              <w:rPr>
                <w:w w:val="115"/>
                <w:sz w:val="19"/>
              </w:rPr>
              <w:t>Net loss per share: Basic</w:t>
            </w:r>
          </w:p>
        </w:tc>
        <w:tc>
          <w:tcPr>
            <w:tcW w:w="1760" w:type="dxa"/>
            <w:tcBorders>
              <w:top w:val="single" w:sz="6" w:space="0" w:color="000000"/>
            </w:tcBorders>
          </w:tcPr>
          <w:p>
            <w:pPr>
              <w:pStyle w:val="TableParagraph"/>
              <w:rPr>
                <w:sz w:val="18"/>
              </w:rPr>
            </w:pPr>
          </w:p>
          <w:p>
            <w:pPr>
              <w:pStyle w:val="TableParagraph"/>
              <w:spacing w:before="2"/>
              <w:rPr>
                <w:sz w:val="20"/>
              </w:rPr>
            </w:pPr>
          </w:p>
          <w:p>
            <w:pPr>
              <w:pStyle w:val="TableParagraph"/>
              <w:tabs>
                <w:tab w:pos="1102" w:val="left" w:leader="none"/>
              </w:tabs>
              <w:ind w:right="40"/>
              <w:jc w:val="right"/>
              <w:rPr>
                <w:sz w:val="19"/>
              </w:rPr>
            </w:pPr>
            <w:r>
              <w:rPr>
                <w:w w:val="115"/>
                <w:sz w:val="19"/>
              </w:rPr>
              <w:t>$</w:t>
              <w:tab/>
            </w:r>
            <w:r>
              <w:rPr>
                <w:spacing w:val="-1"/>
                <w:w w:val="110"/>
                <w:sz w:val="19"/>
              </w:rPr>
              <w:t>(0.07)</w:t>
            </w:r>
          </w:p>
        </w:tc>
        <w:tc>
          <w:tcPr>
            <w:tcW w:w="290" w:type="dxa"/>
          </w:tcPr>
          <w:p>
            <w:pPr>
              <w:pStyle w:val="TableParagraph"/>
              <w:rPr>
                <w:rFonts w:ascii="Times New Roman"/>
                <w:sz w:val="20"/>
              </w:rPr>
            </w:pPr>
          </w:p>
        </w:tc>
        <w:tc>
          <w:tcPr>
            <w:tcW w:w="1438" w:type="dxa"/>
            <w:tcBorders>
              <w:top w:val="single" w:sz="6" w:space="0" w:color="000000"/>
            </w:tcBorders>
          </w:tcPr>
          <w:p>
            <w:pPr>
              <w:pStyle w:val="TableParagraph"/>
              <w:rPr>
                <w:sz w:val="18"/>
              </w:rPr>
            </w:pPr>
          </w:p>
          <w:p>
            <w:pPr>
              <w:pStyle w:val="TableParagraph"/>
              <w:spacing w:before="2"/>
              <w:rPr>
                <w:sz w:val="20"/>
              </w:rPr>
            </w:pPr>
          </w:p>
          <w:p>
            <w:pPr>
              <w:pStyle w:val="TableParagraph"/>
              <w:tabs>
                <w:tab w:pos="780" w:val="left" w:leader="none"/>
              </w:tabs>
              <w:ind w:right="38"/>
              <w:jc w:val="right"/>
              <w:rPr>
                <w:sz w:val="19"/>
              </w:rPr>
            </w:pPr>
            <w:r>
              <w:rPr>
                <w:w w:val="115"/>
                <w:sz w:val="19"/>
              </w:rPr>
              <w:t>$</w:t>
              <w:tab/>
            </w:r>
            <w:r>
              <w:rPr>
                <w:spacing w:val="-1"/>
                <w:w w:val="110"/>
                <w:sz w:val="19"/>
              </w:rPr>
              <w:t>(0.09)</w:t>
            </w:r>
          </w:p>
        </w:tc>
      </w:tr>
      <w:tr>
        <w:trPr>
          <w:trHeight w:val="228" w:hRule="atLeast"/>
        </w:trPr>
        <w:tc>
          <w:tcPr>
            <w:tcW w:w="3740" w:type="dxa"/>
          </w:tcPr>
          <w:p>
            <w:pPr>
              <w:pStyle w:val="TableParagraph"/>
              <w:spacing w:line="208" w:lineRule="exact"/>
              <w:ind w:left="325"/>
              <w:rPr>
                <w:sz w:val="19"/>
              </w:rPr>
            </w:pPr>
            <w:r>
              <w:rPr>
                <w:w w:val="115"/>
                <w:sz w:val="19"/>
              </w:rPr>
              <w:t>Diluted</w:t>
            </w:r>
          </w:p>
        </w:tc>
        <w:tc>
          <w:tcPr>
            <w:tcW w:w="1760" w:type="dxa"/>
          </w:tcPr>
          <w:p>
            <w:pPr>
              <w:pStyle w:val="TableParagraph"/>
              <w:tabs>
                <w:tab w:pos="1102" w:val="left" w:leader="none"/>
              </w:tabs>
              <w:spacing w:line="208" w:lineRule="exact"/>
              <w:ind w:right="40"/>
              <w:jc w:val="right"/>
              <w:rPr>
                <w:sz w:val="19"/>
              </w:rPr>
            </w:pPr>
            <w:r>
              <w:rPr>
                <w:w w:val="115"/>
                <w:sz w:val="19"/>
              </w:rPr>
              <w:t>$</w:t>
              <w:tab/>
            </w:r>
            <w:r>
              <w:rPr>
                <w:spacing w:val="-1"/>
                <w:w w:val="110"/>
                <w:sz w:val="19"/>
              </w:rPr>
              <w:t>(0.07)</w:t>
            </w:r>
          </w:p>
        </w:tc>
        <w:tc>
          <w:tcPr>
            <w:tcW w:w="290" w:type="dxa"/>
          </w:tcPr>
          <w:p>
            <w:pPr>
              <w:pStyle w:val="TableParagraph"/>
              <w:rPr>
                <w:rFonts w:ascii="Times New Roman"/>
                <w:sz w:val="16"/>
              </w:rPr>
            </w:pPr>
          </w:p>
        </w:tc>
        <w:tc>
          <w:tcPr>
            <w:tcW w:w="1438" w:type="dxa"/>
          </w:tcPr>
          <w:p>
            <w:pPr>
              <w:pStyle w:val="TableParagraph"/>
              <w:tabs>
                <w:tab w:pos="780" w:val="left" w:leader="none"/>
              </w:tabs>
              <w:spacing w:line="208" w:lineRule="exact"/>
              <w:ind w:right="38"/>
              <w:jc w:val="right"/>
              <w:rPr>
                <w:sz w:val="19"/>
              </w:rPr>
            </w:pPr>
            <w:r>
              <w:rPr>
                <w:w w:val="115"/>
                <w:sz w:val="19"/>
              </w:rPr>
              <w:t>$</w:t>
              <w:tab/>
            </w:r>
            <w:r>
              <w:rPr>
                <w:spacing w:val="-1"/>
                <w:w w:val="110"/>
                <w:sz w:val="19"/>
              </w:rPr>
              <w:t>(0.09)</w:t>
            </w:r>
          </w:p>
        </w:tc>
      </w:tr>
    </w:tbl>
    <w:p>
      <w:pPr>
        <w:spacing w:line="230" w:lineRule="auto" w:before="152"/>
        <w:ind w:left="1213" w:right="4937" w:firstLine="0"/>
        <w:jc w:val="left"/>
        <w:rPr>
          <w:sz w:val="19"/>
        </w:rPr>
      </w:pPr>
      <w:r>
        <w:rPr/>
        <w:pict>
          <v:group style="position:absolute;margin-left:414.722595pt;margin-top:-56.296371pt;width:72pt;height:.7pt;mso-position-horizontal-relative:page;mso-position-vertical-relative:paragraph;z-index:-252026880" coordorigin="8294,-1126" coordsize="1440,14">
            <v:line style="position:absolute" from="8302,-1119" to="9726,-1119" stroked="true" strokeweight=".689601pt" strokecolor="#000000">
              <v:stroke dashstyle="solid"/>
            </v:line>
            <v:line style="position:absolute" from="8294,-1119" to="9734,-1119" stroked="true" strokeweight=".689601pt" strokecolor="#000000">
              <v:stroke dashstyle="solid"/>
            </v:line>
            <w10:wrap type="none"/>
          </v:group>
        </w:pict>
      </w:r>
      <w:r>
        <w:rPr>
          <w:w w:val="115"/>
          <w:sz w:val="19"/>
        </w:rPr>
        <w:t>Shares</w:t>
      </w:r>
      <w:r>
        <w:rPr>
          <w:spacing w:val="-24"/>
          <w:w w:val="115"/>
          <w:sz w:val="19"/>
        </w:rPr>
        <w:t> </w:t>
      </w:r>
      <w:r>
        <w:rPr>
          <w:spacing w:val="-4"/>
          <w:w w:val="115"/>
          <w:sz w:val="19"/>
        </w:rPr>
        <w:t>used</w:t>
      </w:r>
      <w:r>
        <w:rPr>
          <w:spacing w:val="-21"/>
          <w:w w:val="115"/>
          <w:sz w:val="19"/>
        </w:rPr>
        <w:t> </w:t>
      </w:r>
      <w:r>
        <w:rPr>
          <w:w w:val="115"/>
          <w:sz w:val="19"/>
        </w:rPr>
        <w:t>in</w:t>
      </w:r>
      <w:r>
        <w:rPr>
          <w:spacing w:val="-22"/>
          <w:w w:val="115"/>
          <w:sz w:val="19"/>
        </w:rPr>
        <w:t> </w:t>
      </w:r>
      <w:r>
        <w:rPr>
          <w:w w:val="115"/>
          <w:sz w:val="19"/>
        </w:rPr>
        <w:t>calculation</w:t>
      </w:r>
      <w:r>
        <w:rPr>
          <w:spacing w:val="-22"/>
          <w:w w:val="115"/>
          <w:sz w:val="19"/>
        </w:rPr>
        <w:t> </w:t>
      </w:r>
      <w:r>
        <w:rPr>
          <w:spacing w:val="-4"/>
          <w:w w:val="115"/>
          <w:sz w:val="19"/>
        </w:rPr>
        <w:t>of</w:t>
      </w:r>
      <w:r>
        <w:rPr>
          <w:spacing w:val="-21"/>
          <w:w w:val="115"/>
          <w:sz w:val="19"/>
        </w:rPr>
        <w:t> </w:t>
      </w:r>
      <w:r>
        <w:rPr>
          <w:w w:val="115"/>
          <w:sz w:val="19"/>
        </w:rPr>
        <w:t>net</w:t>
      </w:r>
      <w:r>
        <w:rPr>
          <w:spacing w:val="-15"/>
          <w:w w:val="115"/>
          <w:sz w:val="19"/>
        </w:rPr>
        <w:t> </w:t>
      </w:r>
      <w:r>
        <w:rPr>
          <w:spacing w:val="-5"/>
          <w:w w:val="115"/>
          <w:sz w:val="19"/>
        </w:rPr>
        <w:t>loss</w:t>
      </w:r>
      <w:r>
        <w:rPr>
          <w:spacing w:val="-23"/>
          <w:w w:val="115"/>
          <w:sz w:val="19"/>
        </w:rPr>
        <w:t> </w:t>
      </w:r>
      <w:r>
        <w:rPr>
          <w:w w:val="115"/>
          <w:sz w:val="19"/>
        </w:rPr>
        <w:t>per share:</w:t>
      </w:r>
    </w:p>
    <w:p>
      <w:pPr>
        <w:pStyle w:val="BodyText"/>
        <w:spacing w:before="10"/>
        <w:rPr>
          <w:sz w:val="4"/>
        </w:rPr>
      </w:pPr>
    </w:p>
    <w:tbl>
      <w:tblPr>
        <w:tblW w:w="0" w:type="auto"/>
        <w:jc w:val="left"/>
        <w:tblInd w:w="1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10"/>
        <w:gridCol w:w="3082"/>
        <w:gridCol w:w="1404"/>
      </w:tblGrid>
      <w:tr>
        <w:trPr>
          <w:trHeight w:val="228" w:hRule="atLeast"/>
        </w:trPr>
        <w:tc>
          <w:tcPr>
            <w:tcW w:w="2410" w:type="dxa"/>
          </w:tcPr>
          <w:p>
            <w:pPr>
              <w:pStyle w:val="TableParagraph"/>
              <w:spacing w:line="196" w:lineRule="exact"/>
              <w:ind w:left="50"/>
              <w:rPr>
                <w:sz w:val="19"/>
              </w:rPr>
            </w:pPr>
            <w:r>
              <w:rPr>
                <w:w w:val="115"/>
                <w:sz w:val="19"/>
              </w:rPr>
              <w:t>Basic</w:t>
            </w:r>
          </w:p>
        </w:tc>
        <w:tc>
          <w:tcPr>
            <w:tcW w:w="3082" w:type="dxa"/>
          </w:tcPr>
          <w:p>
            <w:pPr>
              <w:pStyle w:val="TableParagraph"/>
              <w:spacing w:line="196" w:lineRule="exact"/>
              <w:ind w:right="372"/>
              <w:jc w:val="right"/>
              <w:rPr>
                <w:sz w:val="19"/>
              </w:rPr>
            </w:pPr>
            <w:r>
              <w:rPr>
                <w:w w:val="110"/>
                <w:sz w:val="19"/>
              </w:rPr>
              <w:t>12,066,000</w:t>
            </w:r>
          </w:p>
        </w:tc>
        <w:tc>
          <w:tcPr>
            <w:tcW w:w="1404" w:type="dxa"/>
          </w:tcPr>
          <w:p>
            <w:pPr>
              <w:pStyle w:val="TableParagraph"/>
              <w:spacing w:line="196" w:lineRule="exact"/>
              <w:ind w:right="46"/>
              <w:jc w:val="right"/>
              <w:rPr>
                <w:sz w:val="19"/>
              </w:rPr>
            </w:pPr>
            <w:r>
              <w:rPr>
                <w:w w:val="110"/>
                <w:sz w:val="19"/>
              </w:rPr>
              <w:t>11,856,000</w:t>
            </w:r>
          </w:p>
        </w:tc>
      </w:tr>
      <w:tr>
        <w:trPr>
          <w:trHeight w:val="228" w:hRule="atLeast"/>
        </w:trPr>
        <w:tc>
          <w:tcPr>
            <w:tcW w:w="2410" w:type="dxa"/>
          </w:tcPr>
          <w:p>
            <w:pPr>
              <w:pStyle w:val="TableParagraph"/>
              <w:spacing w:line="208" w:lineRule="exact"/>
              <w:ind w:left="50"/>
              <w:rPr>
                <w:sz w:val="19"/>
              </w:rPr>
            </w:pPr>
            <w:r>
              <w:rPr>
                <w:w w:val="115"/>
                <w:sz w:val="19"/>
              </w:rPr>
              <w:t>Diluted</w:t>
            </w:r>
          </w:p>
        </w:tc>
        <w:tc>
          <w:tcPr>
            <w:tcW w:w="3082" w:type="dxa"/>
          </w:tcPr>
          <w:p>
            <w:pPr>
              <w:pStyle w:val="TableParagraph"/>
              <w:spacing w:line="208" w:lineRule="exact"/>
              <w:ind w:right="372"/>
              <w:jc w:val="right"/>
              <w:rPr>
                <w:sz w:val="19"/>
              </w:rPr>
            </w:pPr>
            <w:r>
              <w:rPr>
                <w:w w:val="110"/>
                <w:sz w:val="19"/>
              </w:rPr>
              <w:t>12,066,000</w:t>
            </w:r>
          </w:p>
        </w:tc>
        <w:tc>
          <w:tcPr>
            <w:tcW w:w="1404" w:type="dxa"/>
          </w:tcPr>
          <w:p>
            <w:pPr>
              <w:pStyle w:val="TableParagraph"/>
              <w:spacing w:line="208" w:lineRule="exact"/>
              <w:ind w:right="46"/>
              <w:jc w:val="right"/>
              <w:rPr>
                <w:sz w:val="19"/>
              </w:rPr>
            </w:pPr>
            <w:r>
              <w:rPr>
                <w:w w:val="110"/>
                <w:sz w:val="19"/>
              </w:rPr>
              <w:t>11,856,000</w:t>
            </w:r>
          </w:p>
        </w:tc>
      </w:tr>
    </w:tbl>
    <w:p>
      <w:pPr>
        <w:pStyle w:val="BodyText"/>
        <w:rPr>
          <w:sz w:val="18"/>
        </w:rPr>
      </w:pPr>
    </w:p>
    <w:p>
      <w:pPr>
        <w:pStyle w:val="BodyText"/>
        <w:rPr>
          <w:sz w:val="18"/>
        </w:rPr>
      </w:pPr>
    </w:p>
    <w:p>
      <w:pPr>
        <w:pStyle w:val="BodyText"/>
        <w:spacing w:before="3"/>
        <w:rPr>
          <w:sz w:val="17"/>
        </w:rPr>
      </w:pPr>
    </w:p>
    <w:p>
      <w:pPr>
        <w:spacing w:line="209" w:lineRule="exact" w:before="1"/>
        <w:ind w:left="3220" w:right="3220" w:firstLine="0"/>
        <w:jc w:val="center"/>
        <w:rPr>
          <w:rFonts w:ascii="Arial"/>
          <w:b/>
          <w:sz w:val="19"/>
        </w:rPr>
      </w:pPr>
      <w:r>
        <w:rPr>
          <w:rFonts w:ascii="Arial"/>
          <w:b/>
          <w:w w:val="95"/>
          <w:sz w:val="19"/>
        </w:rPr>
        <w:t>SELECTED BALANCE SHEET DATA</w:t>
      </w:r>
    </w:p>
    <w:p>
      <w:pPr>
        <w:spacing w:line="265" w:lineRule="exact" w:before="0"/>
        <w:ind w:left="3208" w:right="3220" w:firstLine="0"/>
        <w:jc w:val="center"/>
        <w:rPr>
          <w:sz w:val="19"/>
        </w:rPr>
      </w:pPr>
      <w:r>
        <w:rPr/>
        <w:pict>
          <v:line style="position:absolute;mso-position-horizontal-relative:page;mso-position-vertical-relative:paragraph;z-index:-252025856" from="307.940186pt,48.780563pt" to="394.295992pt,48.780563pt" stroked="true" strokeweight="1.354522pt" strokecolor="#000000">
            <v:stroke dashstyle="solid"/>
            <w10:wrap type="none"/>
          </v:line>
        </w:pict>
      </w:r>
      <w:r>
        <w:rPr/>
        <w:pict>
          <v:line style="position:absolute;mso-position-horizontal-relative:page;mso-position-vertical-relative:paragraph;z-index:-252024832" from="408.550446pt,48.780563pt" to="487.364479pt,48.780563pt" stroked="true" strokeweight="1.354522pt" strokecolor="#000000">
            <v:stroke dashstyle="solid"/>
            <w10:wrap type="none"/>
          </v:line>
        </w:pict>
      </w:r>
      <w:r>
        <w:rPr>
          <w:w w:val="110"/>
          <w:sz w:val="19"/>
          <w:u w:val="single"/>
        </w:rPr>
        <w:t>(Unaudited)</w:t>
      </w:r>
    </w:p>
    <w:p>
      <w:pPr>
        <w:pStyle w:val="BodyText"/>
        <w:spacing w:before="10"/>
        <w:rPr>
          <w:sz w:val="16"/>
        </w:rPr>
      </w:pPr>
    </w:p>
    <w:tbl>
      <w:tblPr>
        <w:tblW w:w="0" w:type="auto"/>
        <w:jc w:val="left"/>
        <w:tblInd w:w="1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79"/>
        <w:gridCol w:w="1860"/>
        <w:gridCol w:w="1630"/>
      </w:tblGrid>
      <w:tr>
        <w:trPr>
          <w:trHeight w:val="224" w:hRule="atLeast"/>
        </w:trPr>
        <w:tc>
          <w:tcPr>
            <w:tcW w:w="5539" w:type="dxa"/>
            <w:gridSpan w:val="2"/>
          </w:tcPr>
          <w:p>
            <w:pPr>
              <w:pStyle w:val="TableParagraph"/>
              <w:spacing w:line="194" w:lineRule="exact"/>
              <w:ind w:right="571"/>
              <w:jc w:val="right"/>
              <w:rPr>
                <w:sz w:val="19"/>
              </w:rPr>
            </w:pPr>
            <w:r>
              <w:rPr>
                <w:w w:val="110"/>
                <w:sz w:val="19"/>
              </w:rPr>
              <w:t>March 31,</w:t>
            </w:r>
          </w:p>
        </w:tc>
        <w:tc>
          <w:tcPr>
            <w:tcW w:w="1630" w:type="dxa"/>
          </w:tcPr>
          <w:p>
            <w:pPr>
              <w:pStyle w:val="TableParagraph"/>
              <w:spacing w:line="194" w:lineRule="exact"/>
              <w:ind w:right="189"/>
              <w:jc w:val="right"/>
              <w:rPr>
                <w:sz w:val="19"/>
              </w:rPr>
            </w:pPr>
            <w:r>
              <w:rPr>
                <w:w w:val="110"/>
                <w:sz w:val="19"/>
              </w:rPr>
              <w:t>December 31,</w:t>
            </w:r>
          </w:p>
        </w:tc>
      </w:tr>
      <w:tr>
        <w:trPr>
          <w:trHeight w:val="258" w:hRule="atLeast"/>
        </w:trPr>
        <w:tc>
          <w:tcPr>
            <w:tcW w:w="5539" w:type="dxa"/>
            <w:gridSpan w:val="2"/>
          </w:tcPr>
          <w:p>
            <w:pPr>
              <w:pStyle w:val="TableParagraph"/>
              <w:spacing w:line="228" w:lineRule="exact"/>
              <w:ind w:right="788"/>
              <w:jc w:val="right"/>
              <w:rPr>
                <w:sz w:val="19"/>
              </w:rPr>
            </w:pPr>
            <w:r>
              <w:rPr>
                <w:w w:val="110"/>
                <w:sz w:val="19"/>
              </w:rPr>
              <w:t>2020</w:t>
            </w:r>
          </w:p>
        </w:tc>
        <w:tc>
          <w:tcPr>
            <w:tcW w:w="1630" w:type="dxa"/>
          </w:tcPr>
          <w:p>
            <w:pPr>
              <w:pStyle w:val="TableParagraph"/>
              <w:spacing w:line="228" w:lineRule="exact"/>
              <w:ind w:left="615" w:right="551"/>
              <w:jc w:val="center"/>
              <w:rPr>
                <w:sz w:val="19"/>
              </w:rPr>
            </w:pPr>
            <w:r>
              <w:rPr>
                <w:w w:val="110"/>
                <w:sz w:val="19"/>
              </w:rPr>
              <w:t>2019</w:t>
            </w:r>
          </w:p>
        </w:tc>
      </w:tr>
      <w:tr>
        <w:trPr>
          <w:trHeight w:val="530" w:hRule="atLeast"/>
        </w:trPr>
        <w:tc>
          <w:tcPr>
            <w:tcW w:w="3679" w:type="dxa"/>
          </w:tcPr>
          <w:p>
            <w:pPr>
              <w:pStyle w:val="TableParagraph"/>
              <w:spacing w:before="9"/>
              <w:rPr>
                <w:sz w:val="15"/>
              </w:rPr>
            </w:pPr>
          </w:p>
          <w:p>
            <w:pPr>
              <w:pStyle w:val="TableParagraph"/>
              <w:ind w:left="50"/>
              <w:rPr>
                <w:sz w:val="19"/>
              </w:rPr>
            </w:pPr>
            <w:r>
              <w:rPr>
                <w:w w:val="110"/>
                <w:sz w:val="19"/>
              </w:rPr>
              <w:t>Cash and cash equivalents</w:t>
            </w:r>
          </w:p>
        </w:tc>
        <w:tc>
          <w:tcPr>
            <w:tcW w:w="1860" w:type="dxa"/>
          </w:tcPr>
          <w:p>
            <w:pPr>
              <w:pStyle w:val="TableParagraph"/>
              <w:spacing w:before="9"/>
              <w:rPr>
                <w:sz w:val="15"/>
              </w:rPr>
            </w:pPr>
          </w:p>
          <w:p>
            <w:pPr>
              <w:pStyle w:val="TableParagraph"/>
              <w:tabs>
                <w:tab w:pos="645" w:val="left" w:leader="none"/>
              </w:tabs>
              <w:ind w:right="246"/>
              <w:jc w:val="right"/>
              <w:rPr>
                <w:sz w:val="19"/>
              </w:rPr>
            </w:pPr>
            <w:r>
              <w:rPr>
                <w:w w:val="110"/>
                <w:sz w:val="19"/>
              </w:rPr>
              <w:t>$</w:t>
              <w:tab/>
              <w:t>7,755,000</w:t>
            </w:r>
          </w:p>
        </w:tc>
        <w:tc>
          <w:tcPr>
            <w:tcW w:w="1630" w:type="dxa"/>
          </w:tcPr>
          <w:p>
            <w:pPr>
              <w:pStyle w:val="TableParagraph"/>
              <w:spacing w:before="9"/>
              <w:rPr>
                <w:sz w:val="15"/>
              </w:rPr>
            </w:pPr>
          </w:p>
          <w:p>
            <w:pPr>
              <w:pStyle w:val="TableParagraph"/>
              <w:tabs>
                <w:tab w:pos="330" w:val="left" w:leader="none"/>
              </w:tabs>
              <w:ind w:right="179"/>
              <w:jc w:val="right"/>
              <w:rPr>
                <w:sz w:val="19"/>
              </w:rPr>
            </w:pPr>
            <w:r>
              <w:rPr>
                <w:w w:val="110"/>
                <w:sz w:val="19"/>
              </w:rPr>
              <w:t>$</w:t>
              <w:tab/>
              <w:t>7,510,000</w:t>
            </w:r>
          </w:p>
        </w:tc>
      </w:tr>
      <w:tr>
        <w:trPr>
          <w:trHeight w:val="258" w:hRule="atLeast"/>
        </w:trPr>
        <w:tc>
          <w:tcPr>
            <w:tcW w:w="3679" w:type="dxa"/>
          </w:tcPr>
          <w:p>
            <w:pPr>
              <w:pStyle w:val="TableParagraph"/>
              <w:spacing w:line="228" w:lineRule="exact"/>
              <w:ind w:left="50"/>
              <w:rPr>
                <w:sz w:val="19"/>
              </w:rPr>
            </w:pPr>
            <w:r>
              <w:rPr>
                <w:w w:val="110"/>
                <w:sz w:val="19"/>
              </w:rPr>
              <w:t>Working capital</w:t>
            </w:r>
          </w:p>
        </w:tc>
        <w:tc>
          <w:tcPr>
            <w:tcW w:w="1860" w:type="dxa"/>
          </w:tcPr>
          <w:p>
            <w:pPr>
              <w:pStyle w:val="TableParagraph"/>
              <w:spacing w:line="228" w:lineRule="exact"/>
              <w:ind w:right="246"/>
              <w:jc w:val="right"/>
              <w:rPr>
                <w:sz w:val="19"/>
              </w:rPr>
            </w:pPr>
            <w:r>
              <w:rPr>
                <w:w w:val="110"/>
                <w:sz w:val="19"/>
              </w:rPr>
              <w:t>10,863,000</w:t>
            </w:r>
          </w:p>
        </w:tc>
        <w:tc>
          <w:tcPr>
            <w:tcW w:w="1630" w:type="dxa"/>
          </w:tcPr>
          <w:p>
            <w:pPr>
              <w:pStyle w:val="TableParagraph"/>
              <w:spacing w:line="228" w:lineRule="exact"/>
              <w:ind w:right="180"/>
              <w:jc w:val="right"/>
              <w:rPr>
                <w:sz w:val="19"/>
              </w:rPr>
            </w:pPr>
            <w:r>
              <w:rPr>
                <w:w w:val="110"/>
                <w:sz w:val="19"/>
              </w:rPr>
              <w:t>11,395,000</w:t>
            </w:r>
          </w:p>
        </w:tc>
      </w:tr>
      <w:tr>
        <w:trPr>
          <w:trHeight w:val="258" w:hRule="atLeast"/>
        </w:trPr>
        <w:tc>
          <w:tcPr>
            <w:tcW w:w="3679" w:type="dxa"/>
          </w:tcPr>
          <w:p>
            <w:pPr>
              <w:pStyle w:val="TableParagraph"/>
              <w:spacing w:line="228" w:lineRule="exact"/>
              <w:ind w:left="50"/>
              <w:rPr>
                <w:sz w:val="19"/>
              </w:rPr>
            </w:pPr>
            <w:r>
              <w:rPr>
                <w:w w:val="110"/>
                <w:sz w:val="19"/>
              </w:rPr>
              <w:t>Total assets</w:t>
            </w:r>
          </w:p>
        </w:tc>
        <w:tc>
          <w:tcPr>
            <w:tcW w:w="1860" w:type="dxa"/>
          </w:tcPr>
          <w:p>
            <w:pPr>
              <w:pStyle w:val="TableParagraph"/>
              <w:spacing w:line="228" w:lineRule="exact"/>
              <w:ind w:right="246"/>
              <w:jc w:val="right"/>
              <w:rPr>
                <w:sz w:val="19"/>
              </w:rPr>
            </w:pPr>
            <w:r>
              <w:rPr>
                <w:w w:val="110"/>
                <w:sz w:val="19"/>
              </w:rPr>
              <w:t>15,672,000</w:t>
            </w:r>
          </w:p>
        </w:tc>
        <w:tc>
          <w:tcPr>
            <w:tcW w:w="1630" w:type="dxa"/>
          </w:tcPr>
          <w:p>
            <w:pPr>
              <w:pStyle w:val="TableParagraph"/>
              <w:spacing w:line="228" w:lineRule="exact"/>
              <w:ind w:right="180"/>
              <w:jc w:val="right"/>
              <w:rPr>
                <w:sz w:val="19"/>
              </w:rPr>
            </w:pPr>
            <w:r>
              <w:rPr>
                <w:w w:val="110"/>
                <w:sz w:val="19"/>
              </w:rPr>
              <w:t>16,990,000</w:t>
            </w:r>
          </w:p>
        </w:tc>
      </w:tr>
      <w:tr>
        <w:trPr>
          <w:trHeight w:val="258" w:hRule="atLeast"/>
        </w:trPr>
        <w:tc>
          <w:tcPr>
            <w:tcW w:w="3679" w:type="dxa"/>
          </w:tcPr>
          <w:p>
            <w:pPr>
              <w:pStyle w:val="TableParagraph"/>
              <w:spacing w:line="228" w:lineRule="exact"/>
              <w:ind w:left="50"/>
              <w:rPr>
                <w:sz w:val="19"/>
              </w:rPr>
            </w:pPr>
            <w:r>
              <w:rPr>
                <w:w w:val="110"/>
                <w:sz w:val="19"/>
              </w:rPr>
              <w:t>Total liabilities</w:t>
            </w:r>
          </w:p>
        </w:tc>
        <w:tc>
          <w:tcPr>
            <w:tcW w:w="1860" w:type="dxa"/>
          </w:tcPr>
          <w:p>
            <w:pPr>
              <w:pStyle w:val="TableParagraph"/>
              <w:spacing w:line="228" w:lineRule="exact"/>
              <w:ind w:right="246"/>
              <w:jc w:val="right"/>
              <w:rPr>
                <w:sz w:val="19"/>
              </w:rPr>
            </w:pPr>
            <w:r>
              <w:rPr>
                <w:w w:val="110"/>
                <w:sz w:val="19"/>
              </w:rPr>
              <w:t>4,672,000</w:t>
            </w:r>
          </w:p>
        </w:tc>
        <w:tc>
          <w:tcPr>
            <w:tcW w:w="1630" w:type="dxa"/>
          </w:tcPr>
          <w:p>
            <w:pPr>
              <w:pStyle w:val="TableParagraph"/>
              <w:spacing w:line="228" w:lineRule="exact"/>
              <w:ind w:right="179"/>
              <w:jc w:val="right"/>
              <w:rPr>
                <w:sz w:val="19"/>
              </w:rPr>
            </w:pPr>
            <w:r>
              <w:rPr>
                <w:w w:val="110"/>
                <w:sz w:val="19"/>
              </w:rPr>
              <w:t>5,196,000</w:t>
            </w:r>
          </w:p>
        </w:tc>
      </w:tr>
      <w:tr>
        <w:trPr>
          <w:trHeight w:val="224" w:hRule="atLeast"/>
        </w:trPr>
        <w:tc>
          <w:tcPr>
            <w:tcW w:w="3679" w:type="dxa"/>
          </w:tcPr>
          <w:p>
            <w:pPr>
              <w:pStyle w:val="TableParagraph"/>
              <w:spacing w:line="204" w:lineRule="exact"/>
              <w:ind w:left="50"/>
              <w:rPr>
                <w:sz w:val="19"/>
              </w:rPr>
            </w:pPr>
            <w:r>
              <w:rPr>
                <w:w w:val="110"/>
                <w:sz w:val="19"/>
              </w:rPr>
              <w:t>Shareholders' equity</w:t>
            </w:r>
          </w:p>
        </w:tc>
        <w:tc>
          <w:tcPr>
            <w:tcW w:w="1860" w:type="dxa"/>
          </w:tcPr>
          <w:p>
            <w:pPr>
              <w:pStyle w:val="TableParagraph"/>
              <w:spacing w:line="204" w:lineRule="exact"/>
              <w:ind w:right="246"/>
              <w:jc w:val="right"/>
              <w:rPr>
                <w:sz w:val="19"/>
              </w:rPr>
            </w:pPr>
            <w:r>
              <w:rPr>
                <w:w w:val="110"/>
                <w:sz w:val="19"/>
              </w:rPr>
              <w:t>11,000,000</w:t>
            </w:r>
          </w:p>
        </w:tc>
        <w:tc>
          <w:tcPr>
            <w:tcW w:w="1630" w:type="dxa"/>
          </w:tcPr>
          <w:p>
            <w:pPr>
              <w:pStyle w:val="TableParagraph"/>
              <w:spacing w:line="204" w:lineRule="exact"/>
              <w:ind w:right="180"/>
              <w:jc w:val="right"/>
              <w:rPr>
                <w:sz w:val="19"/>
              </w:rPr>
            </w:pPr>
            <w:r>
              <w:rPr>
                <w:w w:val="110"/>
                <w:sz w:val="19"/>
              </w:rPr>
              <w:t>11,794,000</w:t>
            </w:r>
          </w:p>
        </w:tc>
      </w:tr>
    </w:tbl>
    <w:p>
      <w:pPr>
        <w:spacing w:before="120"/>
        <w:ind w:left="1200" w:right="0" w:firstLine="0"/>
        <w:jc w:val="left"/>
        <w:rPr>
          <w:sz w:val="17"/>
        </w:rPr>
      </w:pPr>
      <w:r>
        <w:rPr>
          <w:w w:val="115"/>
          <w:sz w:val="17"/>
        </w:rPr>
        <w:t>Working capital represents current assets less current liabilities.</w:t>
      </w:r>
    </w:p>
    <w:sectPr>
      <w:pgSz w:w="12240" w:h="15840"/>
      <w:pgMar w:top="94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Arial" w:hAnsi="Arial" w:eastAsia="Arial" w:cs="Arial"/>
        <w:w w:val="132"/>
        <w:sz w:val="21"/>
        <w:szCs w:val="21"/>
        <w:lang w:val="en-us" w:eastAsia="en-us" w:bidi="en-us"/>
      </w:rPr>
    </w:lvl>
    <w:lvl w:ilvl="1">
      <w:start w:val="0"/>
      <w:numFmt w:val="bullet"/>
      <w:lvlText w:val="•"/>
      <w:lvlJc w:val="left"/>
      <w:pPr>
        <w:ind w:left="1696" w:hanging="360"/>
      </w:pPr>
      <w:rPr>
        <w:rFonts w:hint="default"/>
        <w:lang w:val="en-us" w:eastAsia="en-us" w:bidi="en-us"/>
      </w:rPr>
    </w:lvl>
    <w:lvl w:ilvl="2">
      <w:start w:val="0"/>
      <w:numFmt w:val="bullet"/>
      <w:lvlText w:val="•"/>
      <w:lvlJc w:val="left"/>
      <w:pPr>
        <w:ind w:left="2572" w:hanging="360"/>
      </w:pPr>
      <w:rPr>
        <w:rFonts w:hint="default"/>
        <w:lang w:val="en-us" w:eastAsia="en-us" w:bidi="en-us"/>
      </w:rPr>
    </w:lvl>
    <w:lvl w:ilvl="3">
      <w:start w:val="0"/>
      <w:numFmt w:val="bullet"/>
      <w:lvlText w:val="•"/>
      <w:lvlJc w:val="left"/>
      <w:pPr>
        <w:ind w:left="3448" w:hanging="360"/>
      </w:pPr>
      <w:rPr>
        <w:rFonts w:hint="default"/>
        <w:lang w:val="en-us" w:eastAsia="en-us" w:bidi="en-us"/>
      </w:rPr>
    </w:lvl>
    <w:lvl w:ilvl="4">
      <w:start w:val="0"/>
      <w:numFmt w:val="bullet"/>
      <w:lvlText w:val="•"/>
      <w:lvlJc w:val="left"/>
      <w:pPr>
        <w:ind w:left="4324" w:hanging="360"/>
      </w:pPr>
      <w:rPr>
        <w:rFonts w:hint="default"/>
        <w:lang w:val="en-us" w:eastAsia="en-us" w:bidi="en-us"/>
      </w:rPr>
    </w:lvl>
    <w:lvl w:ilvl="5">
      <w:start w:val="0"/>
      <w:numFmt w:val="bullet"/>
      <w:lvlText w:val="•"/>
      <w:lvlJc w:val="left"/>
      <w:pPr>
        <w:ind w:left="5200" w:hanging="360"/>
      </w:pPr>
      <w:rPr>
        <w:rFonts w:hint="default"/>
        <w:lang w:val="en-us" w:eastAsia="en-us" w:bidi="en-us"/>
      </w:rPr>
    </w:lvl>
    <w:lvl w:ilvl="6">
      <w:start w:val="0"/>
      <w:numFmt w:val="bullet"/>
      <w:lvlText w:val="•"/>
      <w:lvlJc w:val="left"/>
      <w:pPr>
        <w:ind w:left="6076" w:hanging="360"/>
      </w:pPr>
      <w:rPr>
        <w:rFonts w:hint="default"/>
        <w:lang w:val="en-us" w:eastAsia="en-us" w:bidi="en-us"/>
      </w:rPr>
    </w:lvl>
    <w:lvl w:ilvl="7">
      <w:start w:val="0"/>
      <w:numFmt w:val="bullet"/>
      <w:lvlText w:val="•"/>
      <w:lvlJc w:val="left"/>
      <w:pPr>
        <w:ind w:left="6952" w:hanging="360"/>
      </w:pPr>
      <w:rPr>
        <w:rFonts w:hint="default"/>
        <w:lang w:val="en-us" w:eastAsia="en-us" w:bidi="en-us"/>
      </w:rPr>
    </w:lvl>
    <w:lvl w:ilvl="8">
      <w:start w:val="0"/>
      <w:numFmt w:val="bullet"/>
      <w:lvlText w:val="•"/>
      <w:lvlJc w:val="left"/>
      <w:pPr>
        <w:ind w:left="7828"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1"/>
      <w:szCs w:val="21"/>
      <w:lang w:val="en-us" w:eastAsia="en-us" w:bidi="en-us"/>
    </w:rPr>
  </w:style>
  <w:style w:styleId="Heading1" w:type="paragraph">
    <w:name w:val="Heading 1"/>
    <w:basedOn w:val="Normal"/>
    <w:uiPriority w:val="1"/>
    <w:qFormat/>
    <w:pPr>
      <w:ind w:left="100"/>
      <w:outlineLvl w:val="1"/>
    </w:pPr>
    <w:rPr>
      <w:rFonts w:ascii="Arial" w:hAnsi="Arial" w:eastAsia="Arial" w:cs="Arial"/>
      <w:b/>
      <w:bCs/>
      <w:sz w:val="21"/>
      <w:szCs w:val="21"/>
      <w:lang w:val="en-us" w:eastAsia="en-us" w:bidi="en-us"/>
    </w:rPr>
  </w:style>
  <w:style w:styleId="ListParagraph" w:type="paragraph">
    <w:name w:val="List Paragraph"/>
    <w:basedOn w:val="Normal"/>
    <w:uiPriority w:val="1"/>
    <w:qFormat/>
    <w:pPr>
      <w:ind w:left="820" w:hanging="361"/>
    </w:pPr>
    <w:rPr>
      <w:rFonts w:ascii="Calibri" w:hAnsi="Calibri" w:eastAsia="Calibri" w:cs="Calibri"/>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insigniasystems.com/" TargetMode="External"/><Relationship Id="rId7" Type="http://schemas.openxmlformats.org/officeDocument/2006/relationships/hyperlink" Target="mailto:investorrelations@insigniasystems.com"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Kobilka</dc:creator>
  <dcterms:created xsi:type="dcterms:W3CDTF">2020-05-12T20:17:05Z</dcterms:created>
  <dcterms:modified xsi:type="dcterms:W3CDTF">2020-05-12T20:17:05Z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Creator">
    <vt:lpwstr>Microsoft® Word for Office 365</vt:lpwstr>
  </property>
  <property fmtid="{D5CDD505-2E9C-101B-9397-08002B2CF9AE}" pid="4" name="LastSaved">
    <vt:filetime>2020-05-12T00:00:00Z</vt:filetime>
  </property>
</Properties>
</file>